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rPr>
          <w:rFonts w:hint="default" w:ascii="Arial" w:hAnsi="Arial" w:cs="Arial"/>
          <w:b/>
          <w:sz w:val="24"/>
          <w:szCs w:val="24"/>
          <w:lang w:val="en-US" w:eastAsia="ja-JP"/>
        </w:rPr>
      </w:pPr>
      <w:bookmarkStart w:id="0" w:name="_Hlt450066085"/>
      <w:bookmarkEnd w:id="0"/>
      <w:bookmarkStart w:id="1" w:name="_Hlt450066087"/>
      <w:bookmarkEnd w:id="1"/>
      <w:bookmarkStart w:id="2" w:name="_Hlt449016246"/>
      <w:bookmarkEnd w:id="2"/>
      <w:bookmarkStart w:id="3" w:name="_Hlt450039480"/>
      <w:bookmarkEnd w:id="3"/>
      <w:bookmarkStart w:id="4" w:name="_Hlt448930105"/>
      <w:bookmarkEnd w:id="4"/>
      <w:bookmarkStart w:id="5" w:name="_Hlt450051172"/>
      <w:bookmarkEnd w:id="5"/>
      <w:r>
        <w:rPr>
          <w:rFonts w:ascii="Arial" w:hAnsi="Arial" w:cs="Arial"/>
          <w:b/>
          <w:sz w:val="24"/>
          <w:szCs w:val="24"/>
        </w:rPr>
        <w:t>3GPP TSG-RAN WG4 Meeting #114</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0611</w:t>
      </w:r>
    </w:p>
    <w:p>
      <w:pPr>
        <w:rPr>
          <w:rFonts w:ascii="Arial" w:hAnsi="Arial" w:cs="Arial"/>
          <w:b/>
          <w:sz w:val="24"/>
          <w:szCs w:val="24"/>
          <w:lang w:eastAsia="zh-CN"/>
        </w:rPr>
      </w:pPr>
      <w:r>
        <w:rPr>
          <w:rFonts w:ascii="Arial" w:hAnsi="Arial" w:cs="Arial"/>
          <w:b/>
          <w:sz w:val="24"/>
          <w:szCs w:val="24"/>
          <w:lang w:eastAsia="zh-CN"/>
        </w:rPr>
        <w:t>Athens, Greece,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system parameters and UE RF requirements for the new NB-IoT TDD operating NTN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7.31.2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106</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introduction of IoT-NTN TDD mode with the following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w:t>
      </w:r>
      <w:r>
        <w:rPr>
          <w:rFonts w:hint="default"/>
          <w:i w:val="0"/>
          <w:iCs w:val="0"/>
          <w:sz w:val="20"/>
          <w:szCs w:val="20"/>
          <w:lang w:val="en-US" w:eastAsia="zh-CN"/>
        </w:rPr>
        <w:t xml:space="preserve">views </w:t>
      </w:r>
      <w:r>
        <w:rPr>
          <w:rFonts w:hint="eastAsia"/>
          <w:i w:val="0"/>
          <w:iCs w:val="0"/>
          <w:sz w:val="20"/>
          <w:szCs w:val="20"/>
          <w:lang w:val="en-US" w:eastAsia="zh-CN"/>
        </w:rPr>
        <w:t xml:space="preserve">about the new </w:t>
      </w:r>
      <w:r>
        <w:rPr>
          <w:sz w:val="20"/>
          <w:szCs w:val="20"/>
        </w:rPr>
        <w:t>NB-IoT TDD operating NTN band</w:t>
      </w:r>
      <w:r>
        <w:rPr>
          <w:rFonts w:hint="eastAsia"/>
          <w:i w:val="0"/>
          <w:iCs w:val="0"/>
          <w:sz w:val="20"/>
          <w:szCs w:val="20"/>
          <w:lang w:val="en-US" w:eastAsia="zh-CN"/>
        </w:rPr>
        <w:t xml:space="preserve"> </w:t>
      </w:r>
      <w:r>
        <w:rPr>
          <w:rFonts w:hint="default"/>
          <w:i w:val="0"/>
          <w:iCs w:val="0"/>
          <w:sz w:val="20"/>
          <w:szCs w:val="20"/>
          <w:lang w:val="en-US" w:eastAsia="zh-CN"/>
        </w:rPr>
        <w:t>from system parameters and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20"/>
              <w:textAlignment w:val="baseline"/>
              <w:rPr>
                <w:sz w:val="20"/>
                <w:szCs w:val="20"/>
              </w:rPr>
            </w:pPr>
            <w:r>
              <w:rPr>
                <w:sz w:val="20"/>
                <w:szCs w:val="20"/>
              </w:rPr>
              <w:t>This work item includes the following objectives:</w:t>
            </w:r>
          </w:p>
          <w:p>
            <w:pPr>
              <w:numPr>
                <w:ilvl w:val="0"/>
                <w:numId w:val="8"/>
              </w:numPr>
              <w:overflowPunct w:val="0"/>
              <w:autoSpaceDE w:val="0"/>
              <w:autoSpaceDN w:val="0"/>
              <w:adjustRightInd w:val="0"/>
              <w:spacing w:after="120"/>
              <w:textAlignment w:val="baseline"/>
              <w:rPr>
                <w:sz w:val="20"/>
                <w:szCs w:val="20"/>
              </w:rPr>
            </w:pPr>
            <w:r>
              <w:rPr>
                <w:sz w:val="20"/>
                <w:szCs w:val="20"/>
              </w:rPr>
              <w:t>Specify a new NB-IoT TDD NTN mode</w:t>
            </w:r>
            <w:r>
              <w:rPr>
                <w:rStyle w:val="81"/>
                <w:sz w:val="20"/>
                <w:szCs w:val="20"/>
              </w:rPr>
              <w:t xml:space="preserve"> </w:t>
            </w:r>
            <w:r>
              <w:rPr>
                <w:rStyle w:val="82"/>
                <w:sz w:val="20"/>
                <w:szCs w:val="20"/>
              </w:rPr>
              <w:t>based on minimum necessary changes to the NB-IoT NTN FDD frame structure and procedures</w:t>
            </w:r>
            <w:r>
              <w:rPr>
                <w:sz w:val="20"/>
                <w:szCs w:val="20"/>
              </w:rPr>
              <w:t>,  including:</w:t>
            </w:r>
          </w:p>
          <w:p>
            <w:pPr>
              <w:numPr>
                <w:ilvl w:val="1"/>
                <w:numId w:val="9"/>
              </w:numPr>
              <w:overflowPunct w:val="0"/>
              <w:autoSpaceDE w:val="0"/>
              <w:autoSpaceDN w:val="0"/>
              <w:adjustRightInd w:val="0"/>
              <w:spacing w:after="120"/>
              <w:textAlignment w:val="baseline"/>
              <w:rPr>
                <w:sz w:val="20"/>
                <w:szCs w:val="20"/>
              </w:rPr>
            </w:pPr>
            <w:r>
              <w:rPr>
                <w:sz w:val="20"/>
                <w:szCs w:val="20"/>
              </w:rPr>
              <w:t>Definition, configuration (if needed) and signaling (if needed) of the periodic pattern, necessary adaptation (if needed) and associated UE procedures [RAN1, RAN2]</w:t>
            </w:r>
          </w:p>
          <w:p>
            <w:pPr>
              <w:numPr>
                <w:ilvl w:val="3"/>
                <w:numId w:val="9"/>
              </w:numPr>
              <w:overflowPunct w:val="0"/>
              <w:autoSpaceDE w:val="0"/>
              <w:autoSpaceDN w:val="0"/>
              <w:adjustRightInd w:val="0"/>
              <w:spacing w:after="120"/>
              <w:textAlignment w:val="baseline"/>
              <w:rPr>
                <w:sz w:val="20"/>
                <w:szCs w:val="20"/>
              </w:rPr>
            </w:pPr>
            <w:r>
              <w:rPr>
                <w:sz w:val="20"/>
                <w:szCs w:val="20"/>
              </w:rPr>
              <w:t>Support a pattern with a period of 9 radio frames for the target MSS allocated band, where D=U=8 with a fixed guard period.</w:t>
            </w:r>
            <w:r>
              <w:rPr>
                <w:rFonts w:hint="cs"/>
                <w:sz w:val="20"/>
                <w:szCs w:val="20"/>
              </w:rPr>
              <w:t>R</w:t>
            </w:r>
            <w:r>
              <w:rPr>
                <w:sz w:val="20"/>
                <w:szCs w:val="20"/>
              </w:rPr>
              <w:t>AN1 to consider whether there is a need for a mechanism to achieve an adjustable guard period for the purpose of allowing deployment with the TDD frame structure of the legacy system operating in the target MSS allocated band.</w:t>
            </w:r>
          </w:p>
          <w:p>
            <w:pPr>
              <w:numPr>
                <w:ilvl w:val="1"/>
                <w:numId w:val="9"/>
              </w:numPr>
              <w:overflowPunct w:val="0"/>
              <w:autoSpaceDE w:val="0"/>
              <w:autoSpaceDN w:val="0"/>
              <w:adjustRightInd w:val="0"/>
              <w:spacing w:after="120"/>
              <w:textAlignment w:val="baseline"/>
              <w:rPr>
                <w:sz w:val="20"/>
                <w:szCs w:val="20"/>
              </w:rPr>
            </w:pPr>
            <w:r>
              <w:rPr>
                <w:sz w:val="20"/>
                <w:szCs w:val="20"/>
              </w:rPr>
              <w:t>Other necessary impacts on higher layers [RAN2]</w:t>
            </w:r>
          </w:p>
          <w:p>
            <w:pPr>
              <w:numPr>
                <w:ilvl w:val="1"/>
                <w:numId w:val="9"/>
              </w:numPr>
              <w:overflowPunct w:val="0"/>
              <w:autoSpaceDE w:val="0"/>
              <w:autoSpaceDN w:val="0"/>
              <w:adjustRightInd w:val="0"/>
              <w:spacing w:after="120"/>
              <w:textAlignment w:val="baseline"/>
              <w:rPr>
                <w:sz w:val="20"/>
                <w:szCs w:val="20"/>
              </w:rPr>
            </w:pPr>
            <w:r>
              <w:rPr>
                <w:sz w:val="20"/>
                <w:szCs w:val="20"/>
              </w:rPr>
              <w:t>RRM and RF core requirements [RAN4]</w:t>
            </w:r>
          </w:p>
          <w:p>
            <w:pPr>
              <w:numPr>
                <w:ilvl w:val="0"/>
                <w:numId w:val="8"/>
              </w:numPr>
              <w:overflowPunct w:val="0"/>
              <w:autoSpaceDE w:val="0"/>
              <w:autoSpaceDN w:val="0"/>
              <w:adjustRightInd w:val="0"/>
              <w:spacing w:after="120"/>
              <w:textAlignment w:val="baseline"/>
              <w:rPr>
                <w:sz w:val="20"/>
                <w:szCs w:val="20"/>
              </w:rPr>
            </w:pPr>
            <w:r>
              <w:rPr>
                <w:sz w:val="20"/>
                <w:szCs w:val="20"/>
              </w:rPr>
              <w:t>Specify a new NB-IoT TDD operating NTN band for the MSS allocation spanning 1616-1626.5 MHz for DL and UL, based on the outcome of the study, to be used as example band for this WI [RAN4].</w:t>
            </w:r>
          </w:p>
          <w:p>
            <w:pPr>
              <w:numPr>
                <w:ilvl w:val="1"/>
                <w:numId w:val="9"/>
              </w:numPr>
              <w:overflowPunct w:val="0"/>
              <w:autoSpaceDE w:val="0"/>
              <w:autoSpaceDN w:val="0"/>
              <w:adjustRightInd w:val="0"/>
              <w:spacing w:after="120"/>
              <w:textAlignment w:val="baseline"/>
              <w:rPr>
                <w:sz w:val="20"/>
                <w:szCs w:val="20"/>
              </w:rPr>
            </w:pPr>
            <w:r>
              <w:rPr>
                <w:sz w:val="20"/>
                <w:szCs w:val="20"/>
              </w:rPr>
              <w:t>Specify band numbering</w:t>
            </w:r>
          </w:p>
          <w:p>
            <w:pPr>
              <w:numPr>
                <w:ilvl w:val="1"/>
                <w:numId w:val="9"/>
              </w:numPr>
              <w:overflowPunct w:val="0"/>
              <w:autoSpaceDE w:val="0"/>
              <w:autoSpaceDN w:val="0"/>
              <w:adjustRightInd w:val="0"/>
              <w:spacing w:after="120"/>
              <w:textAlignment w:val="baseline"/>
              <w:rPr>
                <w:sz w:val="20"/>
                <w:szCs w:val="20"/>
              </w:rPr>
            </w:pPr>
            <w:r>
              <w:rPr>
                <w:sz w:val="20"/>
                <w:szCs w:val="20"/>
              </w:rPr>
              <w:t>Specify SAN and UE RF characteristics</w:t>
            </w:r>
          </w:p>
          <w:p>
            <w:pPr>
              <w:numPr>
                <w:ilvl w:val="1"/>
                <w:numId w:val="9"/>
              </w:numPr>
              <w:overflowPunct w:val="0"/>
              <w:autoSpaceDE w:val="0"/>
              <w:autoSpaceDN w:val="0"/>
              <w:adjustRightInd w:val="0"/>
              <w:spacing w:after="120"/>
              <w:textAlignment w:val="baseline"/>
              <w:rPr>
                <w:sz w:val="20"/>
                <w:szCs w:val="20"/>
              </w:rPr>
            </w:pPr>
            <w:r>
              <w:rPr>
                <w:sz w:val="20"/>
                <w:szCs w:val="20"/>
              </w:rPr>
              <w:t>Specify DL and UL channelization.</w:t>
            </w:r>
          </w:p>
          <w:p>
            <w:pPr>
              <w:numPr>
                <w:ilvl w:val="1"/>
                <w:numId w:val="9"/>
              </w:numPr>
              <w:overflowPunct w:val="0"/>
              <w:autoSpaceDE w:val="0"/>
              <w:autoSpaceDN w:val="0"/>
              <w:adjustRightInd w:val="0"/>
              <w:spacing w:after="120"/>
              <w:textAlignment w:val="baseline"/>
              <w:rPr>
                <w:sz w:val="20"/>
                <w:szCs w:val="20"/>
              </w:rPr>
            </w:pPr>
            <w:r>
              <w:rPr>
                <w:rFonts w:hint="cs"/>
                <w:sz w:val="20"/>
                <w:szCs w:val="20"/>
              </w:rPr>
              <w:t>S</w:t>
            </w:r>
            <w:r>
              <w:rPr>
                <w:sz w:val="20"/>
                <w:szCs w:val="20"/>
              </w:rPr>
              <w:t>pecify channel bandwidth as 200 kHz</w:t>
            </w:r>
          </w:p>
          <w:p>
            <w:pPr>
              <w:numPr>
                <w:ilvl w:val="1"/>
                <w:numId w:val="9"/>
              </w:numPr>
              <w:overflowPunct w:val="0"/>
              <w:autoSpaceDE w:val="0"/>
              <w:autoSpaceDN w:val="0"/>
              <w:adjustRightInd w:val="0"/>
              <w:spacing w:after="120"/>
              <w:textAlignment w:val="baseline"/>
              <w:rPr>
                <w:sz w:val="20"/>
                <w:szCs w:val="20"/>
              </w:rPr>
            </w:pPr>
            <w:r>
              <w:rPr>
                <w:sz w:val="20"/>
                <w:szCs w:val="20"/>
              </w:rPr>
              <w:t>Note1: No NTN-NTN coexistence study needed.</w:t>
            </w:r>
          </w:p>
          <w:p>
            <w:pPr>
              <w:numPr>
                <w:ilvl w:val="1"/>
                <w:numId w:val="9"/>
              </w:numPr>
              <w:overflowPunct w:val="0"/>
              <w:autoSpaceDE w:val="0"/>
              <w:autoSpaceDN w:val="0"/>
              <w:adjustRightInd w:val="0"/>
              <w:spacing w:after="120"/>
              <w:textAlignment w:val="baseline"/>
              <w:rPr>
                <w:sz w:val="20"/>
                <w:szCs w:val="20"/>
              </w:rPr>
            </w:pPr>
            <w:r>
              <w:rPr>
                <w:sz w:val="20"/>
                <w:szCs w:val="20"/>
              </w:rPr>
              <w:t>Note2: Leverage existing work as much as possible for TN-NTN coexistence of adjacent bands</w:t>
            </w:r>
          </w:p>
          <w:p>
            <w:pPr>
              <w:numPr>
                <w:ilvl w:val="0"/>
                <w:numId w:val="0"/>
              </w:numPr>
              <w:overflowPunct w:val="0"/>
              <w:autoSpaceDE w:val="0"/>
              <w:autoSpaceDN w:val="0"/>
              <w:adjustRightInd w:val="0"/>
              <w:spacing w:after="120"/>
              <w:ind w:left="1080" w:leftChars="0"/>
              <w:textAlignment w:val="baseline"/>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numPr>
          <w:ilvl w:val="1"/>
          <w:numId w:val="0"/>
        </w:numPr>
        <w:bidi w:val="0"/>
        <w:ind w:leftChars="0" w:right="0" w:rightChars="0"/>
        <w:rPr>
          <w:rFonts w:hint="eastAsia"/>
          <w:sz w:val="24"/>
          <w:szCs w:val="18"/>
          <w:lang w:val="en-US" w:eastAsia="zh-CN"/>
        </w:rPr>
      </w:pPr>
      <w:r>
        <w:rPr>
          <w:rFonts w:hint="eastAsia"/>
          <w:sz w:val="24"/>
          <w:szCs w:val="18"/>
          <w:lang w:val="en-US" w:eastAsia="zh-CN"/>
        </w:rPr>
        <w:t>2.1 Channel numbers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outlineLvl w:val="2"/>
              <w:rPr>
                <w:b/>
                <w:bCs/>
                <w:sz w:val="20"/>
                <w:szCs w:val="20"/>
                <w:u w:val="single"/>
                <w:lang w:val="en-US" w:eastAsia="zh-CN"/>
              </w:rPr>
            </w:pPr>
            <w:r>
              <w:rPr>
                <w:b/>
                <w:sz w:val="20"/>
                <w:szCs w:val="20"/>
                <w:u w:val="single"/>
                <w:lang w:eastAsia="ko-KR"/>
              </w:rPr>
              <w:t xml:space="preserve">Issue 1-1: Operating </w:t>
            </w:r>
            <w:r>
              <w:rPr>
                <w:b/>
                <w:bCs/>
                <w:sz w:val="20"/>
                <w:szCs w:val="20"/>
                <w:u w:val="single"/>
                <w:lang w:val="en-US" w:eastAsia="zh-CN"/>
              </w:rPr>
              <w:t>Bands</w:t>
            </w:r>
          </w:p>
          <w:p>
            <w:pPr>
              <w:overflowPunct w:val="0"/>
              <w:autoSpaceDE w:val="0"/>
              <w:autoSpaceDN w:val="0"/>
              <w:adjustRightInd w:val="0"/>
              <w:spacing w:after="120" w:line="252" w:lineRule="auto"/>
              <w:textAlignment w:val="baseline"/>
              <w:rPr>
                <w:sz w:val="20"/>
                <w:szCs w:val="20"/>
                <w:lang w:eastAsia="ja-JP"/>
              </w:rPr>
            </w:pPr>
            <w:r>
              <w:rPr>
                <w:sz w:val="20"/>
                <w:szCs w:val="20"/>
                <w:lang w:eastAsia="ja-JP"/>
              </w:rPr>
              <w:t>&lt;Band number&gt;</w:t>
            </w:r>
          </w:p>
          <w:p>
            <w:pPr>
              <w:pStyle w:val="34"/>
              <w:numPr>
                <w:ilvl w:val="0"/>
                <w:numId w:val="10"/>
              </w:numPr>
              <w:overflowPunct w:val="0"/>
              <w:autoSpaceDE w:val="0"/>
              <w:autoSpaceDN w:val="0"/>
              <w:adjustRightInd w:val="0"/>
              <w:spacing w:after="180"/>
              <w:ind w:firstLineChars="0"/>
              <w:textAlignment w:val="baseline"/>
              <w:rPr>
                <w:sz w:val="20"/>
                <w:szCs w:val="20"/>
                <w:lang w:eastAsia="ja-JP"/>
              </w:rPr>
            </w:pPr>
            <w:r>
              <w:rPr>
                <w:sz w:val="20"/>
                <w:szCs w:val="20"/>
                <w:lang w:eastAsia="ja-JP"/>
              </w:rPr>
              <w:t>RAN4 to consider the following proposals for the requirement definition during the normative work item phase in future RAN4 meetings.</w:t>
            </w:r>
          </w:p>
          <w:p>
            <w:pPr>
              <w:pStyle w:val="34"/>
              <w:numPr>
                <w:ilvl w:val="1"/>
                <w:numId w:val="10"/>
              </w:numPr>
              <w:overflowPunct w:val="0"/>
              <w:autoSpaceDE w:val="0"/>
              <w:autoSpaceDN w:val="0"/>
              <w:adjustRightInd w:val="0"/>
              <w:spacing w:after="180"/>
              <w:ind w:firstLineChars="0"/>
              <w:textAlignment w:val="baseline"/>
              <w:rPr>
                <w:sz w:val="20"/>
                <w:szCs w:val="20"/>
                <w:lang w:eastAsia="ja-JP"/>
              </w:rPr>
            </w:pPr>
            <w:r>
              <w:rPr>
                <w:rFonts w:eastAsia="Malgun Gothic"/>
                <w:sz w:val="20"/>
                <w:szCs w:val="20"/>
                <w:lang w:eastAsia="ko-KR"/>
              </w:rPr>
              <w:t>Assign “[249]” E-UTRA operating band number for the new TDD [1616-1626.5] MHz NTN NB-IoT frequency band introduction.</w:t>
            </w:r>
          </w:p>
          <w:p>
            <w:pPr>
              <w:pStyle w:val="56"/>
              <w:overflowPunct w:val="0"/>
              <w:autoSpaceDE w:val="0"/>
              <w:autoSpaceDN w:val="0"/>
              <w:adjustRightInd w:val="0"/>
              <w:spacing w:after="180"/>
              <w:textAlignment w:val="baseline"/>
              <w:rPr>
                <w:sz w:val="16"/>
                <w:szCs w:val="16"/>
                <w:lang w:val="en-US"/>
              </w:rPr>
            </w:pPr>
            <w:r>
              <w:rPr>
                <w:sz w:val="16"/>
                <w:szCs w:val="16"/>
                <w:lang w:val="en-US"/>
              </w:rPr>
              <w:t>E-UTRA operating bands for satellite access</w:t>
            </w:r>
          </w:p>
          <w:tbl>
            <w:tblPr>
              <w:tblStyle w:val="23"/>
              <w:tblW w:w="7822" w:type="dxa"/>
              <w:jc w:val="center"/>
              <w:tblLayout w:type="autofit"/>
              <w:tblCellMar>
                <w:top w:w="0" w:type="dxa"/>
                <w:left w:w="108" w:type="dxa"/>
                <w:bottom w:w="0" w:type="dxa"/>
                <w:right w:w="108" w:type="dxa"/>
              </w:tblCellMar>
            </w:tblPr>
            <w:tblGrid>
              <w:gridCol w:w="1345"/>
              <w:gridCol w:w="1320"/>
              <w:gridCol w:w="336"/>
              <w:gridCol w:w="1110"/>
              <w:gridCol w:w="1161"/>
              <w:gridCol w:w="317"/>
              <w:gridCol w:w="1336"/>
              <w:gridCol w:w="897"/>
            </w:tblGrid>
            <w:tr>
              <w:tblPrEx>
                <w:tblCellMar>
                  <w:top w:w="0" w:type="dxa"/>
                  <w:left w:w="108" w:type="dxa"/>
                  <w:bottom w:w="0" w:type="dxa"/>
                  <w:right w:w="108" w:type="dxa"/>
                </w:tblCellMar>
              </w:tblPrEx>
              <w:trPr>
                <w:trHeight w:val="705" w:hRule="atLeast"/>
                <w:jc w:val="center"/>
              </w:trPr>
              <w:tc>
                <w:tcPr>
                  <w:tcW w:w="1345" w:type="dxa"/>
                  <w:vMerge w:val="restart"/>
                  <w:tcBorders>
                    <w:top w:val="single" w:color="auto" w:sz="4" w:space="0"/>
                    <w:left w:val="single" w:color="auto" w:sz="4" w:space="0"/>
                    <w:right w:val="single" w:color="auto" w:sz="4" w:space="0"/>
                  </w:tcBorders>
                  <w:vAlign w:val="center"/>
                </w:tcPr>
                <w:p>
                  <w:pPr>
                    <w:pStyle w:val="65"/>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rPr>
                  </w:pPr>
                  <w:r>
                    <w:rPr>
                      <w:rFonts w:cs="Arial"/>
                      <w:sz w:val="16"/>
                      <w:szCs w:val="16"/>
                    </w:rPr>
                    <w:t>E</w:t>
                  </w:r>
                  <w:r>
                    <w:rPr>
                      <w:rFonts w:cs="Arial"/>
                      <w:sz w:val="16"/>
                      <w:szCs w:val="16"/>
                    </w:rPr>
                    <w:noBreakHyphen/>
                  </w:r>
                  <w:r>
                    <w:rPr>
                      <w:rFonts w:cs="Arial"/>
                      <w:sz w:val="16"/>
                      <w:szCs w:val="16"/>
                    </w:rPr>
                    <w:t>UTRA Operating Band</w:t>
                  </w:r>
                </w:p>
              </w:tc>
              <w:tc>
                <w:tcPr>
                  <w:tcW w:w="2766" w:type="dxa"/>
                  <w:gridSpan w:val="3"/>
                  <w:tcBorders>
                    <w:top w:val="single" w:color="auto" w:sz="4" w:space="0"/>
                    <w:left w:val="single" w:color="auto" w:sz="4" w:space="0"/>
                    <w:bottom w:val="single" w:color="auto" w:sz="4" w:space="0"/>
                    <w:right w:val="single" w:color="auto" w:sz="4" w:space="0"/>
                  </w:tcBorders>
                  <w:vAlign w:val="center"/>
                </w:tcPr>
                <w:p>
                  <w:pPr>
                    <w:pStyle w:val="65"/>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val="en-US"/>
                    </w:rPr>
                  </w:pPr>
                  <w:r>
                    <w:rPr>
                      <w:rFonts w:cs="Arial"/>
                      <w:sz w:val="16"/>
                      <w:szCs w:val="16"/>
                      <w:lang w:val="en-US"/>
                    </w:rPr>
                    <w:t>Uplink (UL) operating band</w:t>
                  </w:r>
                  <w:r>
                    <w:rPr>
                      <w:rFonts w:cs="Arial"/>
                      <w:sz w:val="16"/>
                      <w:szCs w:val="16"/>
                      <w:lang w:val="en-US"/>
                    </w:rPr>
                    <w:br w:type="textWrapping"/>
                  </w:r>
                  <w:r>
                    <w:rPr>
                      <w:rFonts w:cs="Arial"/>
                      <w:sz w:val="16"/>
                      <w:szCs w:val="16"/>
                      <w:lang w:val="en-US"/>
                    </w:rPr>
                    <w:t>BS receive</w:t>
                  </w:r>
                  <w:r>
                    <w:rPr>
                      <w:rFonts w:cs="Arial"/>
                      <w:sz w:val="16"/>
                      <w:szCs w:val="16"/>
                      <w:lang w:val="en-US"/>
                    </w:rPr>
                    <w:br w:type="textWrapping"/>
                  </w:r>
                  <w:r>
                    <w:rPr>
                      <w:rFonts w:cs="Arial"/>
                      <w:sz w:val="16"/>
                      <w:szCs w:val="16"/>
                      <w:lang w:val="en-US"/>
                    </w:rPr>
                    <w:t>UE transmit</w:t>
                  </w:r>
                </w:p>
              </w:tc>
              <w:tc>
                <w:tcPr>
                  <w:tcW w:w="2814" w:type="dxa"/>
                  <w:gridSpan w:val="3"/>
                  <w:tcBorders>
                    <w:top w:val="single" w:color="auto" w:sz="4" w:space="0"/>
                    <w:bottom w:val="single" w:color="auto" w:sz="4" w:space="0"/>
                    <w:right w:val="single" w:color="auto" w:sz="4" w:space="0"/>
                  </w:tcBorders>
                  <w:vAlign w:val="center"/>
                </w:tcPr>
                <w:p>
                  <w:pPr>
                    <w:pStyle w:val="65"/>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val="en-US"/>
                    </w:rPr>
                  </w:pPr>
                  <w:r>
                    <w:rPr>
                      <w:rFonts w:cs="Arial"/>
                      <w:sz w:val="16"/>
                      <w:szCs w:val="16"/>
                      <w:lang w:val="en-US"/>
                    </w:rPr>
                    <w:t>Downlink (DL) operating band</w:t>
                  </w:r>
                  <w:r>
                    <w:rPr>
                      <w:rFonts w:cs="Arial"/>
                      <w:sz w:val="16"/>
                      <w:szCs w:val="16"/>
                      <w:lang w:val="en-US"/>
                    </w:rPr>
                    <w:br w:type="textWrapping"/>
                  </w:r>
                  <w:r>
                    <w:rPr>
                      <w:rFonts w:cs="Arial"/>
                      <w:sz w:val="16"/>
                      <w:szCs w:val="16"/>
                      <w:lang w:val="en-US"/>
                    </w:rPr>
                    <w:t xml:space="preserve">BS transmit </w:t>
                  </w:r>
                  <w:r>
                    <w:rPr>
                      <w:rFonts w:cs="Arial"/>
                      <w:sz w:val="16"/>
                      <w:szCs w:val="16"/>
                      <w:lang w:val="en-US"/>
                    </w:rPr>
                    <w:br w:type="textWrapping"/>
                  </w:r>
                  <w:r>
                    <w:rPr>
                      <w:rFonts w:cs="Arial"/>
                      <w:sz w:val="16"/>
                      <w:szCs w:val="16"/>
                      <w:lang w:val="en-US"/>
                    </w:rPr>
                    <w:t>UE receive</w:t>
                  </w:r>
                </w:p>
              </w:tc>
              <w:tc>
                <w:tcPr>
                  <w:tcW w:w="897" w:type="dxa"/>
                  <w:vMerge w:val="restart"/>
                  <w:tcBorders>
                    <w:top w:val="single" w:color="auto" w:sz="4" w:space="0"/>
                    <w:left w:val="single" w:color="auto" w:sz="4" w:space="0"/>
                    <w:right w:val="single" w:color="auto" w:sz="4" w:space="0"/>
                  </w:tcBorders>
                </w:tcPr>
                <w:p>
                  <w:pPr>
                    <w:pStyle w:val="65"/>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rPr>
                  </w:pPr>
                  <w:r>
                    <w:rPr>
                      <w:rFonts w:cs="Arial"/>
                      <w:sz w:val="16"/>
                      <w:szCs w:val="16"/>
                    </w:rPr>
                    <w:t>Duplex Mode</w:t>
                  </w:r>
                </w:p>
              </w:tc>
            </w:tr>
            <w:tr>
              <w:tblPrEx>
                <w:tblCellMar>
                  <w:top w:w="0" w:type="dxa"/>
                  <w:left w:w="108" w:type="dxa"/>
                  <w:bottom w:w="0" w:type="dxa"/>
                  <w:right w:w="108" w:type="dxa"/>
                </w:tblCellMar>
              </w:tblPrEx>
              <w:trPr>
                <w:trHeight w:val="122" w:hRule="atLeast"/>
                <w:jc w:val="center"/>
              </w:trPr>
              <w:tc>
                <w:tcPr>
                  <w:tcW w:w="1345" w:type="dxa"/>
                  <w:vMerge w:val="continue"/>
                  <w:tcBorders>
                    <w:left w:val="single" w:color="auto" w:sz="4" w:space="0"/>
                    <w:bottom w:val="single" w:color="auto" w:sz="4" w:space="0"/>
                    <w:right w:val="single" w:color="auto" w:sz="4" w:space="0"/>
                  </w:tcBorders>
                  <w:vAlign w:val="center"/>
                </w:tcPr>
                <w:p>
                  <w:pPr>
                    <w:pStyle w:val="65"/>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rPr>
                  </w:pPr>
                </w:p>
              </w:tc>
              <w:tc>
                <w:tcPr>
                  <w:tcW w:w="2766" w:type="dxa"/>
                  <w:gridSpan w:val="3"/>
                  <w:tcBorders>
                    <w:top w:val="single" w:color="auto" w:sz="4" w:space="0"/>
                    <w:left w:val="single" w:color="auto" w:sz="4" w:space="0"/>
                    <w:bottom w:val="single" w:color="auto" w:sz="4" w:space="0"/>
                    <w:right w:val="single" w:color="auto" w:sz="4" w:space="0"/>
                  </w:tcBorders>
                  <w:vAlign w:val="center"/>
                </w:tcPr>
                <w:p>
                  <w:pPr>
                    <w:pStyle w:val="65"/>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val="en-US"/>
                    </w:rPr>
                  </w:pPr>
                  <w:r>
                    <w:rPr>
                      <w:rFonts w:cs="Arial"/>
                      <w:sz w:val="16"/>
                      <w:szCs w:val="16"/>
                      <w:lang w:val="en-US"/>
                    </w:rPr>
                    <w:t>F</w:t>
                  </w:r>
                  <w:r>
                    <w:rPr>
                      <w:rFonts w:cs="Arial"/>
                      <w:sz w:val="16"/>
                      <w:szCs w:val="16"/>
                      <w:vertAlign w:val="subscript"/>
                      <w:lang w:val="en-US"/>
                    </w:rPr>
                    <w:t>UL_low</w:t>
                  </w:r>
                  <w:r>
                    <w:rPr>
                      <w:rFonts w:cs="Arial"/>
                      <w:sz w:val="16"/>
                      <w:szCs w:val="16"/>
                      <w:lang w:val="en-US"/>
                    </w:rPr>
                    <w:t xml:space="preserve">   –  F</w:t>
                  </w:r>
                  <w:r>
                    <w:rPr>
                      <w:rFonts w:cs="Arial"/>
                      <w:sz w:val="16"/>
                      <w:szCs w:val="16"/>
                      <w:vertAlign w:val="subscript"/>
                      <w:lang w:val="en-US"/>
                    </w:rPr>
                    <w:t>UL_high</w:t>
                  </w:r>
                </w:p>
              </w:tc>
              <w:tc>
                <w:tcPr>
                  <w:tcW w:w="2814" w:type="dxa"/>
                  <w:gridSpan w:val="3"/>
                  <w:tcBorders>
                    <w:top w:val="single" w:color="auto" w:sz="4" w:space="0"/>
                    <w:bottom w:val="single" w:color="auto" w:sz="4" w:space="0"/>
                    <w:right w:val="single" w:color="auto" w:sz="4" w:space="0"/>
                  </w:tcBorders>
                  <w:vAlign w:val="center"/>
                </w:tcPr>
                <w:p>
                  <w:pPr>
                    <w:pStyle w:val="65"/>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val="en-US"/>
                    </w:rPr>
                  </w:pPr>
                  <w:r>
                    <w:rPr>
                      <w:rFonts w:cs="Arial"/>
                      <w:sz w:val="16"/>
                      <w:szCs w:val="16"/>
                      <w:lang w:val="en-US"/>
                    </w:rPr>
                    <w:t>F</w:t>
                  </w:r>
                  <w:r>
                    <w:rPr>
                      <w:rFonts w:cs="Arial"/>
                      <w:sz w:val="16"/>
                      <w:szCs w:val="16"/>
                      <w:vertAlign w:val="subscript"/>
                      <w:lang w:val="en-US"/>
                    </w:rPr>
                    <w:t>DL_low</w:t>
                  </w:r>
                  <w:r>
                    <w:rPr>
                      <w:rFonts w:cs="Arial"/>
                      <w:sz w:val="16"/>
                      <w:szCs w:val="16"/>
                      <w:lang w:val="en-US"/>
                    </w:rPr>
                    <w:t xml:space="preserve">  –  F</w:t>
                  </w:r>
                  <w:r>
                    <w:rPr>
                      <w:rFonts w:cs="Arial"/>
                      <w:sz w:val="16"/>
                      <w:szCs w:val="16"/>
                      <w:vertAlign w:val="subscript"/>
                      <w:lang w:val="en-US"/>
                    </w:rPr>
                    <w:t>DL_high</w:t>
                  </w:r>
                </w:p>
              </w:tc>
              <w:tc>
                <w:tcPr>
                  <w:tcW w:w="897" w:type="dxa"/>
                  <w:vMerge w:val="continue"/>
                  <w:tcBorders>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val="en-US"/>
                    </w:rPr>
                  </w:pPr>
                </w:p>
              </w:tc>
            </w:tr>
            <w:tr>
              <w:tblPrEx>
                <w:tblCellMar>
                  <w:top w:w="0" w:type="dxa"/>
                  <w:left w:w="108" w:type="dxa"/>
                  <w:bottom w:w="0" w:type="dxa"/>
                  <w:right w:w="108" w:type="dxa"/>
                </w:tblCellMar>
              </w:tblPrEx>
              <w:trPr>
                <w:trHeight w:val="178" w:hRule="atLeast"/>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rPr>
                  </w:pPr>
                  <w:r>
                    <w:rPr>
                      <w:rFonts w:cs="Arial"/>
                      <w:sz w:val="16"/>
                      <w:szCs w:val="16"/>
                    </w:rPr>
                    <w:t>256</w:t>
                  </w:r>
                </w:p>
              </w:tc>
              <w:tc>
                <w:tcPr>
                  <w:tcW w:w="1320" w:type="dxa"/>
                  <w:tcBorders>
                    <w:top w:val="single" w:color="auto" w:sz="4" w:space="0"/>
                    <w:left w:val="single" w:color="auto" w:sz="4" w:space="0"/>
                    <w:bottom w:val="single" w:color="auto" w:sz="4" w:space="0"/>
                    <w:right w:val="nil"/>
                  </w:tcBorders>
                </w:tcPr>
                <w:p>
                  <w:pPr>
                    <w:pStyle w:val="83"/>
                    <w:keepNext/>
                    <w:keepLines/>
                    <w:pageBreakBefore w:val="0"/>
                    <w:widowControl/>
                    <w:kinsoku/>
                    <w:wordWrap w:val="0"/>
                    <w:overflowPunct/>
                    <w:topLinePunct w:val="0"/>
                    <w:autoSpaceDE/>
                    <w:autoSpaceDN/>
                    <w:bidi w:val="0"/>
                    <w:adjustRightInd/>
                    <w:snapToGrid/>
                    <w:spacing w:beforeLines="0" w:afterLines="0" w:line="240" w:lineRule="auto"/>
                    <w:textAlignment w:val="auto"/>
                    <w:rPr>
                      <w:rFonts w:cs="Arial"/>
                      <w:sz w:val="16"/>
                      <w:szCs w:val="16"/>
                      <w:lang w:eastAsia="zh-CN"/>
                    </w:rPr>
                  </w:pPr>
                  <w:r>
                    <w:rPr>
                      <w:rFonts w:cs="Arial"/>
                      <w:sz w:val="16"/>
                      <w:szCs w:val="16"/>
                      <w:lang w:eastAsia="zh-CN"/>
                    </w:rPr>
                    <w:t>1980 MHz</w:t>
                  </w:r>
                </w:p>
              </w:tc>
              <w:tc>
                <w:tcPr>
                  <w:tcW w:w="336"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zh-CN"/>
                    </w:rPr>
                  </w:pPr>
                  <w:r>
                    <w:rPr>
                      <w:rFonts w:cs="Arial"/>
                      <w:sz w:val="16"/>
                      <w:szCs w:val="16"/>
                      <w:lang w:eastAsia="zh-CN"/>
                    </w:rPr>
                    <w:t>–</w:t>
                  </w:r>
                </w:p>
              </w:tc>
              <w:tc>
                <w:tcPr>
                  <w:tcW w:w="1110"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eastAsia="zh-CN"/>
                    </w:rPr>
                  </w:pPr>
                  <w:r>
                    <w:rPr>
                      <w:sz w:val="16"/>
                      <w:szCs w:val="16"/>
                      <w:lang w:eastAsia="zh-CN"/>
                    </w:rPr>
                    <w:t>2010 MHz</w:t>
                  </w:r>
                </w:p>
              </w:tc>
              <w:tc>
                <w:tcPr>
                  <w:tcW w:w="1161" w:type="dxa"/>
                  <w:tcBorders>
                    <w:top w:val="single" w:color="auto" w:sz="4" w:space="0"/>
                    <w:left w:val="nil"/>
                    <w:bottom w:val="single" w:color="auto" w:sz="4" w:space="0"/>
                    <w:right w:val="nil"/>
                  </w:tcBorders>
                </w:tcPr>
                <w:p>
                  <w:pPr>
                    <w:pStyle w:val="83"/>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rPr>
                  </w:pPr>
                  <w:r>
                    <w:rPr>
                      <w:sz w:val="16"/>
                      <w:szCs w:val="16"/>
                    </w:rPr>
                    <w:t>2170 MHz</w:t>
                  </w:r>
                </w:p>
              </w:tc>
              <w:tc>
                <w:tcPr>
                  <w:tcW w:w="317"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rPr>
                  </w:pPr>
                  <w:r>
                    <w:rPr>
                      <w:sz w:val="16"/>
                      <w:szCs w:val="16"/>
                    </w:rPr>
                    <w:t>–</w:t>
                  </w:r>
                </w:p>
              </w:tc>
              <w:tc>
                <w:tcPr>
                  <w:tcW w:w="1336"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rPr>
                  </w:pPr>
                  <w:r>
                    <w:rPr>
                      <w:sz w:val="16"/>
                      <w:szCs w:val="16"/>
                    </w:rPr>
                    <w:t>2200 MHz</w:t>
                  </w:r>
                </w:p>
              </w:tc>
              <w:tc>
                <w:tcPr>
                  <w:tcW w:w="8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ja-JP"/>
                    </w:rPr>
                  </w:pPr>
                  <w:r>
                    <w:rPr>
                      <w:rFonts w:hint="eastAsia" w:cs="Arial"/>
                      <w:sz w:val="16"/>
                      <w:szCs w:val="16"/>
                      <w:lang w:eastAsia="ja-JP"/>
                    </w:rPr>
                    <w:t>FDD</w:t>
                  </w:r>
                </w:p>
              </w:tc>
            </w:tr>
            <w:tr>
              <w:tblPrEx>
                <w:tblCellMar>
                  <w:top w:w="0" w:type="dxa"/>
                  <w:left w:w="108" w:type="dxa"/>
                  <w:bottom w:w="0" w:type="dxa"/>
                  <w:right w:w="108" w:type="dxa"/>
                </w:tblCellMar>
              </w:tblPrEx>
              <w:trPr>
                <w:trHeight w:val="357" w:hRule="atLeast"/>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rPr>
                  </w:pPr>
                  <w:r>
                    <w:rPr>
                      <w:rFonts w:cs="Arial"/>
                      <w:sz w:val="16"/>
                      <w:szCs w:val="16"/>
                    </w:rPr>
                    <w:t>255</w:t>
                  </w:r>
                </w:p>
              </w:tc>
              <w:tc>
                <w:tcPr>
                  <w:tcW w:w="1320" w:type="dxa"/>
                  <w:tcBorders>
                    <w:top w:val="single" w:color="auto" w:sz="4" w:space="0"/>
                    <w:left w:val="single" w:color="auto" w:sz="4" w:space="0"/>
                    <w:bottom w:val="single" w:color="auto" w:sz="4" w:space="0"/>
                    <w:right w:val="nil"/>
                  </w:tcBorders>
                </w:tcPr>
                <w:p>
                  <w:pPr>
                    <w:pStyle w:val="83"/>
                    <w:keepNext/>
                    <w:keepLines/>
                    <w:pageBreakBefore w:val="0"/>
                    <w:widowControl/>
                    <w:kinsoku/>
                    <w:wordWrap w:val="0"/>
                    <w:overflowPunct/>
                    <w:topLinePunct w:val="0"/>
                    <w:autoSpaceDE/>
                    <w:autoSpaceDN/>
                    <w:bidi w:val="0"/>
                    <w:adjustRightInd/>
                    <w:snapToGrid/>
                    <w:spacing w:beforeLines="0" w:afterLines="0" w:line="240" w:lineRule="auto"/>
                    <w:textAlignment w:val="auto"/>
                    <w:rPr>
                      <w:rFonts w:cs="Arial"/>
                      <w:sz w:val="16"/>
                      <w:szCs w:val="16"/>
                      <w:lang w:eastAsia="zh-CN"/>
                    </w:rPr>
                  </w:pPr>
                  <w:r>
                    <w:rPr>
                      <w:rFonts w:cs="Arial"/>
                      <w:sz w:val="16"/>
                      <w:szCs w:val="16"/>
                      <w:lang w:eastAsia="zh-CN"/>
                    </w:rPr>
                    <w:t>1626.5 MHz</w:t>
                  </w:r>
                </w:p>
              </w:tc>
              <w:tc>
                <w:tcPr>
                  <w:tcW w:w="336"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zh-CN"/>
                    </w:rPr>
                  </w:pPr>
                  <w:r>
                    <w:rPr>
                      <w:rFonts w:cs="Arial"/>
                      <w:sz w:val="16"/>
                      <w:szCs w:val="16"/>
                      <w:lang w:eastAsia="zh-CN"/>
                    </w:rPr>
                    <w:t>–</w:t>
                  </w:r>
                </w:p>
              </w:tc>
              <w:tc>
                <w:tcPr>
                  <w:tcW w:w="1110"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eastAsia="zh-CN"/>
                    </w:rPr>
                  </w:pPr>
                  <w:r>
                    <w:rPr>
                      <w:sz w:val="16"/>
                      <w:szCs w:val="16"/>
                      <w:lang w:eastAsia="zh-CN"/>
                    </w:rPr>
                    <w:t>1660.5 MHz</w:t>
                  </w:r>
                </w:p>
              </w:tc>
              <w:tc>
                <w:tcPr>
                  <w:tcW w:w="1161" w:type="dxa"/>
                  <w:tcBorders>
                    <w:top w:val="single" w:color="auto" w:sz="4" w:space="0"/>
                    <w:left w:val="nil"/>
                    <w:bottom w:val="single" w:color="auto" w:sz="4" w:space="0"/>
                    <w:right w:val="nil"/>
                  </w:tcBorders>
                </w:tcPr>
                <w:p>
                  <w:pPr>
                    <w:pStyle w:val="83"/>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rPr>
                  </w:pPr>
                  <w:r>
                    <w:rPr>
                      <w:sz w:val="16"/>
                      <w:szCs w:val="16"/>
                    </w:rPr>
                    <w:t>1525 MHz</w:t>
                  </w:r>
                </w:p>
              </w:tc>
              <w:tc>
                <w:tcPr>
                  <w:tcW w:w="317"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rPr>
                  </w:pPr>
                  <w:r>
                    <w:rPr>
                      <w:sz w:val="16"/>
                      <w:szCs w:val="16"/>
                    </w:rPr>
                    <w:t>–</w:t>
                  </w:r>
                </w:p>
              </w:tc>
              <w:tc>
                <w:tcPr>
                  <w:tcW w:w="1336"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rPr>
                  </w:pPr>
                  <w:r>
                    <w:rPr>
                      <w:sz w:val="16"/>
                      <w:szCs w:val="16"/>
                    </w:rPr>
                    <w:t>1559 MHz</w:t>
                  </w:r>
                </w:p>
              </w:tc>
              <w:tc>
                <w:tcPr>
                  <w:tcW w:w="8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ja-JP"/>
                    </w:rPr>
                  </w:pPr>
                  <w:r>
                    <w:rPr>
                      <w:rFonts w:hint="eastAsia" w:cs="Arial"/>
                      <w:sz w:val="16"/>
                      <w:szCs w:val="16"/>
                      <w:lang w:eastAsia="ja-JP"/>
                    </w:rPr>
                    <w:t>FDD</w:t>
                  </w:r>
                </w:p>
              </w:tc>
            </w:tr>
            <w:tr>
              <w:tblPrEx>
                <w:tblCellMar>
                  <w:top w:w="0" w:type="dxa"/>
                  <w:left w:w="108" w:type="dxa"/>
                  <w:bottom w:w="0" w:type="dxa"/>
                  <w:right w:w="108" w:type="dxa"/>
                </w:tblCellMar>
              </w:tblPrEx>
              <w:trPr>
                <w:trHeight w:val="347" w:hRule="atLeast"/>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zh-CN"/>
                    </w:rPr>
                  </w:pPr>
                  <w:r>
                    <w:rPr>
                      <w:rFonts w:hint="eastAsia" w:cs="Arial"/>
                      <w:sz w:val="16"/>
                      <w:szCs w:val="16"/>
                      <w:lang w:eastAsia="zh-CN"/>
                    </w:rPr>
                    <w:t>254</w:t>
                  </w:r>
                </w:p>
              </w:tc>
              <w:tc>
                <w:tcPr>
                  <w:tcW w:w="1320" w:type="dxa"/>
                  <w:tcBorders>
                    <w:top w:val="single" w:color="auto" w:sz="4" w:space="0"/>
                    <w:left w:val="single" w:color="auto" w:sz="4" w:space="0"/>
                    <w:bottom w:val="single" w:color="auto" w:sz="4" w:space="0"/>
                    <w:right w:val="nil"/>
                  </w:tcBorders>
                </w:tcPr>
                <w:p>
                  <w:pPr>
                    <w:pStyle w:val="83"/>
                    <w:keepNext/>
                    <w:keepLines/>
                    <w:pageBreakBefore w:val="0"/>
                    <w:widowControl/>
                    <w:kinsoku/>
                    <w:wordWrap w:val="0"/>
                    <w:overflowPunct/>
                    <w:topLinePunct w:val="0"/>
                    <w:autoSpaceDE/>
                    <w:autoSpaceDN/>
                    <w:bidi w:val="0"/>
                    <w:adjustRightInd/>
                    <w:snapToGrid/>
                    <w:spacing w:beforeLines="0" w:afterLines="0" w:line="240" w:lineRule="auto"/>
                    <w:textAlignment w:val="auto"/>
                    <w:rPr>
                      <w:rFonts w:cs="Arial"/>
                      <w:sz w:val="16"/>
                      <w:szCs w:val="16"/>
                      <w:lang w:val="en-US" w:eastAsia="zh-CN"/>
                    </w:rPr>
                  </w:pPr>
                  <w:r>
                    <w:rPr>
                      <w:rFonts w:hint="eastAsia" w:cs="Arial"/>
                      <w:sz w:val="16"/>
                      <w:szCs w:val="16"/>
                      <w:lang w:val="en-US" w:eastAsia="zh-CN"/>
                    </w:rPr>
                    <w:t>1610 MHz</w:t>
                  </w:r>
                </w:p>
              </w:tc>
              <w:tc>
                <w:tcPr>
                  <w:tcW w:w="336"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zh-CN"/>
                    </w:rPr>
                  </w:pPr>
                  <w:r>
                    <w:rPr>
                      <w:rFonts w:hint="eastAsia" w:cs="Arial"/>
                      <w:sz w:val="16"/>
                      <w:szCs w:val="16"/>
                      <w:lang w:eastAsia="zh-CN"/>
                    </w:rPr>
                    <w:t>-</w:t>
                  </w:r>
                </w:p>
              </w:tc>
              <w:tc>
                <w:tcPr>
                  <w:tcW w:w="1110"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val="en-US" w:eastAsia="zh-CN"/>
                    </w:rPr>
                  </w:pPr>
                  <w:r>
                    <w:rPr>
                      <w:rFonts w:hint="eastAsia"/>
                      <w:sz w:val="16"/>
                      <w:szCs w:val="16"/>
                      <w:lang w:val="en-US" w:eastAsia="zh-CN"/>
                    </w:rPr>
                    <w:t>1626.5 MHz</w:t>
                  </w:r>
                </w:p>
              </w:tc>
              <w:tc>
                <w:tcPr>
                  <w:tcW w:w="1161" w:type="dxa"/>
                  <w:tcBorders>
                    <w:top w:val="single" w:color="auto" w:sz="4" w:space="0"/>
                    <w:left w:val="nil"/>
                    <w:bottom w:val="single" w:color="auto" w:sz="4" w:space="0"/>
                    <w:right w:val="nil"/>
                  </w:tcBorders>
                </w:tcPr>
                <w:p>
                  <w:pPr>
                    <w:pStyle w:val="83"/>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val="en-US" w:eastAsia="zh-CN"/>
                    </w:rPr>
                  </w:pPr>
                  <w:r>
                    <w:rPr>
                      <w:rFonts w:hint="eastAsia"/>
                      <w:sz w:val="16"/>
                      <w:szCs w:val="16"/>
                      <w:lang w:val="en-US" w:eastAsia="zh-CN"/>
                    </w:rPr>
                    <w:t>2483.5 MHz</w:t>
                  </w:r>
                </w:p>
              </w:tc>
              <w:tc>
                <w:tcPr>
                  <w:tcW w:w="317"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eastAsia="zh-CN"/>
                    </w:rPr>
                  </w:pPr>
                  <w:r>
                    <w:rPr>
                      <w:rFonts w:hint="eastAsia"/>
                      <w:sz w:val="16"/>
                      <w:szCs w:val="16"/>
                      <w:lang w:eastAsia="zh-CN"/>
                    </w:rPr>
                    <w:t>-</w:t>
                  </w:r>
                </w:p>
              </w:tc>
              <w:tc>
                <w:tcPr>
                  <w:tcW w:w="1336"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val="en-US" w:eastAsia="zh-CN"/>
                    </w:rPr>
                  </w:pPr>
                  <w:r>
                    <w:rPr>
                      <w:rFonts w:hint="eastAsia"/>
                      <w:sz w:val="16"/>
                      <w:szCs w:val="16"/>
                      <w:lang w:val="en-US" w:eastAsia="zh-CN"/>
                    </w:rPr>
                    <w:t>2500 MHz</w:t>
                  </w:r>
                </w:p>
              </w:tc>
              <w:tc>
                <w:tcPr>
                  <w:tcW w:w="8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zh-CN"/>
                    </w:rPr>
                  </w:pPr>
                  <w:r>
                    <w:rPr>
                      <w:rFonts w:hint="eastAsia" w:cs="Arial"/>
                      <w:sz w:val="16"/>
                      <w:szCs w:val="16"/>
                      <w:lang w:eastAsia="zh-CN"/>
                    </w:rPr>
                    <w:t>FDD</w:t>
                  </w:r>
                </w:p>
              </w:tc>
            </w:tr>
            <w:tr>
              <w:tblPrEx>
                <w:tblCellMar>
                  <w:top w:w="0" w:type="dxa"/>
                  <w:left w:w="108" w:type="dxa"/>
                  <w:bottom w:w="0" w:type="dxa"/>
                  <w:right w:w="108" w:type="dxa"/>
                </w:tblCellMar>
              </w:tblPrEx>
              <w:trPr>
                <w:trHeight w:val="178" w:hRule="atLeast"/>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rPr>
                  </w:pPr>
                  <w:r>
                    <w:rPr>
                      <w:rFonts w:hint="eastAsia" w:cs="Arial"/>
                      <w:sz w:val="16"/>
                      <w:szCs w:val="16"/>
                      <w:lang w:eastAsia="zh-CN"/>
                    </w:rPr>
                    <w:t>253</w:t>
                  </w:r>
                  <w:r>
                    <w:rPr>
                      <w:rFonts w:hint="eastAsia" w:cs="Arial"/>
                      <w:sz w:val="16"/>
                      <w:szCs w:val="16"/>
                      <w:vertAlign w:val="superscript"/>
                      <w:lang w:eastAsia="zh-CN"/>
                    </w:rPr>
                    <w:t>2</w:t>
                  </w:r>
                </w:p>
              </w:tc>
              <w:tc>
                <w:tcPr>
                  <w:tcW w:w="1320" w:type="dxa"/>
                  <w:tcBorders>
                    <w:top w:val="single" w:color="auto" w:sz="4" w:space="0"/>
                    <w:left w:val="single" w:color="auto" w:sz="4" w:space="0"/>
                    <w:bottom w:val="single" w:color="auto" w:sz="4" w:space="0"/>
                    <w:right w:val="nil"/>
                  </w:tcBorders>
                </w:tcPr>
                <w:p>
                  <w:pPr>
                    <w:pStyle w:val="83"/>
                    <w:keepNext/>
                    <w:keepLines/>
                    <w:pageBreakBefore w:val="0"/>
                    <w:widowControl/>
                    <w:kinsoku/>
                    <w:wordWrap w:val="0"/>
                    <w:overflowPunct/>
                    <w:topLinePunct w:val="0"/>
                    <w:autoSpaceDE/>
                    <w:autoSpaceDN/>
                    <w:bidi w:val="0"/>
                    <w:adjustRightInd/>
                    <w:snapToGrid/>
                    <w:spacing w:beforeLines="0" w:afterLines="0" w:line="240" w:lineRule="auto"/>
                    <w:textAlignment w:val="auto"/>
                    <w:rPr>
                      <w:rFonts w:cs="Arial"/>
                      <w:sz w:val="16"/>
                      <w:szCs w:val="16"/>
                      <w:lang w:eastAsia="zh-CN"/>
                    </w:rPr>
                  </w:pPr>
                  <w:r>
                    <w:rPr>
                      <w:rFonts w:hint="eastAsia" w:cs="Arial"/>
                      <w:sz w:val="16"/>
                      <w:szCs w:val="16"/>
                      <w:lang w:val="en-US" w:eastAsia="zh-CN"/>
                    </w:rPr>
                    <w:t>1668 MHz</w:t>
                  </w:r>
                </w:p>
              </w:tc>
              <w:tc>
                <w:tcPr>
                  <w:tcW w:w="336"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zh-CN"/>
                    </w:rPr>
                  </w:pPr>
                  <w:r>
                    <w:rPr>
                      <w:rFonts w:hint="eastAsia" w:cs="Arial"/>
                      <w:sz w:val="16"/>
                      <w:szCs w:val="16"/>
                      <w:lang w:eastAsia="zh-CN"/>
                    </w:rPr>
                    <w:t>-</w:t>
                  </w:r>
                </w:p>
              </w:tc>
              <w:tc>
                <w:tcPr>
                  <w:tcW w:w="1110"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eastAsia="zh-CN"/>
                    </w:rPr>
                  </w:pPr>
                  <w:r>
                    <w:rPr>
                      <w:rFonts w:hint="eastAsia"/>
                      <w:sz w:val="16"/>
                      <w:szCs w:val="16"/>
                      <w:lang w:val="en-US" w:eastAsia="zh-CN"/>
                    </w:rPr>
                    <w:t>1675 MHz</w:t>
                  </w:r>
                </w:p>
              </w:tc>
              <w:tc>
                <w:tcPr>
                  <w:tcW w:w="1161" w:type="dxa"/>
                  <w:tcBorders>
                    <w:top w:val="single" w:color="auto" w:sz="4" w:space="0"/>
                    <w:left w:val="nil"/>
                    <w:bottom w:val="single" w:color="auto" w:sz="4" w:space="0"/>
                    <w:right w:val="nil"/>
                  </w:tcBorders>
                </w:tcPr>
                <w:p>
                  <w:pPr>
                    <w:pStyle w:val="83"/>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rPr>
                  </w:pPr>
                  <w:r>
                    <w:rPr>
                      <w:rFonts w:hint="eastAsia"/>
                      <w:sz w:val="16"/>
                      <w:szCs w:val="16"/>
                      <w:lang w:val="en-US" w:eastAsia="zh-CN"/>
                    </w:rPr>
                    <w:t>1518 MHz</w:t>
                  </w:r>
                </w:p>
              </w:tc>
              <w:tc>
                <w:tcPr>
                  <w:tcW w:w="317"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rPr>
                  </w:pPr>
                  <w:r>
                    <w:rPr>
                      <w:rFonts w:hint="eastAsia"/>
                      <w:sz w:val="16"/>
                      <w:szCs w:val="16"/>
                      <w:lang w:eastAsia="zh-CN"/>
                    </w:rPr>
                    <w:t>-</w:t>
                  </w:r>
                </w:p>
              </w:tc>
              <w:tc>
                <w:tcPr>
                  <w:tcW w:w="1336"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rPr>
                  </w:pPr>
                  <w:r>
                    <w:rPr>
                      <w:rFonts w:hint="eastAsia"/>
                      <w:sz w:val="16"/>
                      <w:szCs w:val="16"/>
                      <w:lang w:val="en-US" w:eastAsia="zh-CN"/>
                    </w:rPr>
                    <w:t>1525 MHz</w:t>
                  </w:r>
                </w:p>
              </w:tc>
              <w:tc>
                <w:tcPr>
                  <w:tcW w:w="8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ja-JP"/>
                    </w:rPr>
                  </w:pPr>
                  <w:r>
                    <w:rPr>
                      <w:rFonts w:hint="eastAsia" w:cs="Arial"/>
                      <w:sz w:val="16"/>
                      <w:szCs w:val="16"/>
                      <w:lang w:eastAsia="zh-CN"/>
                    </w:rPr>
                    <w:t>FDD</w:t>
                  </w:r>
                </w:p>
              </w:tc>
            </w:tr>
            <w:tr>
              <w:tblPrEx>
                <w:tblCellMar>
                  <w:top w:w="0" w:type="dxa"/>
                  <w:left w:w="108" w:type="dxa"/>
                  <w:bottom w:w="0" w:type="dxa"/>
                  <w:right w:w="108" w:type="dxa"/>
                </w:tblCellMar>
              </w:tblPrEx>
              <w:trPr>
                <w:trHeight w:val="178" w:hRule="atLeast"/>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zh-CN"/>
                    </w:rPr>
                  </w:pPr>
                  <w:r>
                    <w:rPr>
                      <w:rFonts w:cs="Arial"/>
                      <w:sz w:val="16"/>
                      <w:szCs w:val="16"/>
                      <w:lang w:eastAsia="zh-CN"/>
                    </w:rPr>
                    <w:t>252</w:t>
                  </w:r>
                </w:p>
              </w:tc>
              <w:tc>
                <w:tcPr>
                  <w:tcW w:w="1320" w:type="dxa"/>
                  <w:tcBorders>
                    <w:top w:val="single" w:color="auto" w:sz="4" w:space="0"/>
                    <w:left w:val="single" w:color="auto" w:sz="4" w:space="0"/>
                    <w:bottom w:val="single" w:color="auto" w:sz="4" w:space="0"/>
                    <w:right w:val="nil"/>
                  </w:tcBorders>
                </w:tcPr>
                <w:p>
                  <w:pPr>
                    <w:pStyle w:val="83"/>
                    <w:keepNext/>
                    <w:keepLines/>
                    <w:pageBreakBefore w:val="0"/>
                    <w:widowControl/>
                    <w:kinsoku/>
                    <w:wordWrap w:val="0"/>
                    <w:overflowPunct/>
                    <w:topLinePunct w:val="0"/>
                    <w:autoSpaceDE/>
                    <w:autoSpaceDN/>
                    <w:bidi w:val="0"/>
                    <w:adjustRightInd/>
                    <w:snapToGrid/>
                    <w:spacing w:beforeLines="0" w:afterLines="0" w:line="240" w:lineRule="auto"/>
                    <w:textAlignment w:val="auto"/>
                    <w:rPr>
                      <w:rFonts w:cs="Arial"/>
                      <w:sz w:val="16"/>
                      <w:szCs w:val="16"/>
                      <w:lang w:val="en-US" w:eastAsia="zh-CN"/>
                    </w:rPr>
                  </w:pPr>
                  <w:r>
                    <w:rPr>
                      <w:rFonts w:cs="Arial"/>
                      <w:sz w:val="16"/>
                      <w:szCs w:val="16"/>
                      <w:lang w:val="en-US" w:eastAsia="zh-CN"/>
                    </w:rPr>
                    <w:t>2000 MHz</w:t>
                  </w:r>
                </w:p>
              </w:tc>
              <w:tc>
                <w:tcPr>
                  <w:tcW w:w="336"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zh-CN"/>
                    </w:rPr>
                  </w:pPr>
                  <w:r>
                    <w:rPr>
                      <w:rFonts w:cs="Arial"/>
                      <w:sz w:val="16"/>
                      <w:szCs w:val="16"/>
                      <w:lang w:eastAsia="zh-CN"/>
                    </w:rPr>
                    <w:t>-</w:t>
                  </w:r>
                </w:p>
              </w:tc>
              <w:tc>
                <w:tcPr>
                  <w:tcW w:w="1110"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val="en-US" w:eastAsia="zh-CN"/>
                    </w:rPr>
                  </w:pPr>
                  <w:r>
                    <w:rPr>
                      <w:sz w:val="16"/>
                      <w:szCs w:val="16"/>
                      <w:lang w:val="en-US" w:eastAsia="zh-CN"/>
                    </w:rPr>
                    <w:t>2020 MHz</w:t>
                  </w:r>
                </w:p>
              </w:tc>
              <w:tc>
                <w:tcPr>
                  <w:tcW w:w="1161" w:type="dxa"/>
                  <w:tcBorders>
                    <w:top w:val="single" w:color="auto" w:sz="4" w:space="0"/>
                    <w:left w:val="nil"/>
                    <w:bottom w:val="single" w:color="auto" w:sz="4" w:space="0"/>
                    <w:right w:val="nil"/>
                  </w:tcBorders>
                </w:tcPr>
                <w:p>
                  <w:pPr>
                    <w:pStyle w:val="83"/>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val="en-US" w:eastAsia="zh-CN"/>
                    </w:rPr>
                  </w:pPr>
                  <w:r>
                    <w:rPr>
                      <w:sz w:val="16"/>
                      <w:szCs w:val="16"/>
                      <w:lang w:val="en-US" w:eastAsia="zh-CN"/>
                    </w:rPr>
                    <w:t>2180 MHz</w:t>
                  </w:r>
                </w:p>
              </w:tc>
              <w:tc>
                <w:tcPr>
                  <w:tcW w:w="317"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eastAsia="zh-CN"/>
                    </w:rPr>
                  </w:pPr>
                  <w:r>
                    <w:rPr>
                      <w:sz w:val="16"/>
                      <w:szCs w:val="16"/>
                      <w:lang w:eastAsia="zh-CN"/>
                    </w:rPr>
                    <w:t>-</w:t>
                  </w:r>
                </w:p>
              </w:tc>
              <w:tc>
                <w:tcPr>
                  <w:tcW w:w="1336"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val="en-US" w:eastAsia="zh-CN"/>
                    </w:rPr>
                  </w:pPr>
                  <w:r>
                    <w:rPr>
                      <w:sz w:val="16"/>
                      <w:szCs w:val="16"/>
                      <w:lang w:val="en-US" w:eastAsia="zh-CN"/>
                    </w:rPr>
                    <w:t>2200 MHz</w:t>
                  </w:r>
                </w:p>
              </w:tc>
              <w:tc>
                <w:tcPr>
                  <w:tcW w:w="8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sz w:val="16"/>
                      <w:szCs w:val="16"/>
                      <w:lang w:eastAsia="zh-CN"/>
                    </w:rPr>
                  </w:pPr>
                  <w:r>
                    <w:rPr>
                      <w:rFonts w:cs="Arial"/>
                      <w:sz w:val="16"/>
                      <w:szCs w:val="16"/>
                      <w:lang w:eastAsia="zh-CN"/>
                    </w:rPr>
                    <w:t>FDD</w:t>
                  </w:r>
                </w:p>
              </w:tc>
            </w:tr>
            <w:tr>
              <w:tblPrEx>
                <w:tblCellMar>
                  <w:top w:w="0" w:type="dxa"/>
                  <w:left w:w="108" w:type="dxa"/>
                  <w:bottom w:w="0" w:type="dxa"/>
                  <w:right w:w="108" w:type="dxa"/>
                </w:tblCellMar>
              </w:tblPrEx>
              <w:trPr>
                <w:trHeight w:val="178" w:hRule="atLeast"/>
                <w:jc w:val="center"/>
              </w:trPr>
              <w:tc>
                <w:tcPr>
                  <w:tcW w:w="134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b/>
                      <w:sz w:val="16"/>
                      <w:szCs w:val="16"/>
                      <w:lang w:eastAsia="zh-CN"/>
                    </w:rPr>
                  </w:pPr>
                  <w:r>
                    <w:rPr>
                      <w:rFonts w:eastAsia="Malgun Gothic"/>
                      <w:sz w:val="16"/>
                      <w:szCs w:val="16"/>
                      <w:lang w:eastAsia="ko-KR"/>
                    </w:rPr>
                    <w:t>[249]</w:t>
                  </w:r>
                </w:p>
              </w:tc>
              <w:tc>
                <w:tcPr>
                  <w:tcW w:w="1320" w:type="dxa"/>
                  <w:tcBorders>
                    <w:top w:val="single" w:color="auto" w:sz="4" w:space="0"/>
                    <w:left w:val="single" w:color="auto" w:sz="4" w:space="0"/>
                    <w:bottom w:val="single" w:color="auto" w:sz="4" w:space="0"/>
                    <w:right w:val="nil"/>
                  </w:tcBorders>
                </w:tcPr>
                <w:p>
                  <w:pPr>
                    <w:pStyle w:val="83"/>
                    <w:keepNext/>
                    <w:keepLines/>
                    <w:pageBreakBefore w:val="0"/>
                    <w:widowControl/>
                    <w:kinsoku/>
                    <w:wordWrap w:val="0"/>
                    <w:overflowPunct/>
                    <w:topLinePunct w:val="0"/>
                    <w:autoSpaceDE/>
                    <w:autoSpaceDN/>
                    <w:bidi w:val="0"/>
                    <w:adjustRightInd/>
                    <w:snapToGrid/>
                    <w:spacing w:beforeLines="0" w:afterLines="0" w:line="240" w:lineRule="auto"/>
                    <w:ind w:right="90"/>
                    <w:textAlignment w:val="auto"/>
                    <w:rPr>
                      <w:rFonts w:cs="Arial"/>
                      <w:b/>
                      <w:sz w:val="16"/>
                      <w:szCs w:val="16"/>
                      <w:lang w:val="en-US" w:eastAsia="zh-CN"/>
                    </w:rPr>
                  </w:pPr>
                  <w:r>
                    <w:rPr>
                      <w:b/>
                      <w:sz w:val="16"/>
                      <w:szCs w:val="16"/>
                      <w:lang w:val="en-US"/>
                    </w:rPr>
                    <w:t>[</w:t>
                  </w:r>
                  <w:r>
                    <w:rPr>
                      <w:b/>
                      <w:sz w:val="16"/>
                      <w:szCs w:val="16"/>
                    </w:rPr>
                    <w:t>1616</w:t>
                  </w:r>
                  <w:r>
                    <w:rPr>
                      <w:b/>
                      <w:sz w:val="16"/>
                      <w:szCs w:val="16"/>
                      <w:lang w:val="en-US"/>
                    </w:rPr>
                    <w:t>]</w:t>
                  </w:r>
                  <w:r>
                    <w:rPr>
                      <w:rFonts w:cs="Arial"/>
                      <w:b/>
                      <w:sz w:val="16"/>
                      <w:szCs w:val="16"/>
                      <w:lang w:val="en-US" w:eastAsia="zh-CN"/>
                    </w:rPr>
                    <w:t xml:space="preserve"> MHz</w:t>
                  </w:r>
                </w:p>
              </w:tc>
              <w:tc>
                <w:tcPr>
                  <w:tcW w:w="336"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b/>
                      <w:sz w:val="16"/>
                      <w:szCs w:val="16"/>
                      <w:lang w:eastAsia="zh-CN"/>
                    </w:rPr>
                  </w:pPr>
                  <w:r>
                    <w:rPr>
                      <w:rFonts w:cs="Arial"/>
                      <w:b/>
                      <w:sz w:val="16"/>
                      <w:szCs w:val="16"/>
                      <w:lang w:eastAsia="zh-CN"/>
                    </w:rPr>
                    <w:t>-</w:t>
                  </w:r>
                </w:p>
              </w:tc>
              <w:tc>
                <w:tcPr>
                  <w:tcW w:w="1110"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b/>
                      <w:sz w:val="16"/>
                      <w:szCs w:val="16"/>
                      <w:lang w:val="en-US" w:eastAsia="zh-CN"/>
                    </w:rPr>
                  </w:pPr>
                  <w:r>
                    <w:rPr>
                      <w:b/>
                      <w:sz w:val="16"/>
                      <w:szCs w:val="16"/>
                      <w:lang w:val="en-US"/>
                    </w:rPr>
                    <w:t>[</w:t>
                  </w:r>
                  <w:r>
                    <w:rPr>
                      <w:b/>
                      <w:sz w:val="16"/>
                      <w:szCs w:val="16"/>
                    </w:rPr>
                    <w:t>1626.5</w:t>
                  </w:r>
                  <w:r>
                    <w:rPr>
                      <w:b/>
                      <w:sz w:val="16"/>
                      <w:szCs w:val="16"/>
                      <w:lang w:val="en-US"/>
                    </w:rPr>
                    <w:t>] MHz</w:t>
                  </w:r>
                </w:p>
              </w:tc>
              <w:tc>
                <w:tcPr>
                  <w:tcW w:w="1161" w:type="dxa"/>
                  <w:tcBorders>
                    <w:top w:val="single" w:color="auto" w:sz="4" w:space="0"/>
                    <w:left w:val="nil"/>
                    <w:bottom w:val="single" w:color="auto" w:sz="4" w:space="0"/>
                    <w:right w:val="nil"/>
                  </w:tcBorders>
                </w:tcPr>
                <w:p>
                  <w:pPr>
                    <w:pStyle w:val="83"/>
                    <w:keepNext/>
                    <w:keepLines/>
                    <w:pageBreakBefore w:val="0"/>
                    <w:widowControl/>
                    <w:kinsoku/>
                    <w:overflowPunct/>
                    <w:topLinePunct w:val="0"/>
                    <w:autoSpaceDE/>
                    <w:autoSpaceDN/>
                    <w:bidi w:val="0"/>
                    <w:adjustRightInd/>
                    <w:snapToGrid/>
                    <w:spacing w:beforeLines="0" w:afterLines="0" w:line="240" w:lineRule="auto"/>
                    <w:textAlignment w:val="auto"/>
                    <w:rPr>
                      <w:b/>
                      <w:sz w:val="16"/>
                      <w:szCs w:val="16"/>
                      <w:lang w:val="en-US" w:eastAsia="zh-CN"/>
                    </w:rPr>
                  </w:pPr>
                  <w:r>
                    <w:rPr>
                      <w:b/>
                      <w:sz w:val="16"/>
                      <w:szCs w:val="16"/>
                      <w:lang w:val="en-US"/>
                    </w:rPr>
                    <w:t>[</w:t>
                  </w:r>
                  <w:r>
                    <w:rPr>
                      <w:b/>
                      <w:sz w:val="16"/>
                      <w:szCs w:val="16"/>
                    </w:rPr>
                    <w:t>1616</w:t>
                  </w:r>
                  <w:r>
                    <w:rPr>
                      <w:b/>
                      <w:sz w:val="16"/>
                      <w:szCs w:val="16"/>
                      <w:lang w:val="en-US"/>
                    </w:rPr>
                    <w:t>]</w:t>
                  </w:r>
                  <w:r>
                    <w:rPr>
                      <w:b/>
                      <w:sz w:val="16"/>
                      <w:szCs w:val="16"/>
                      <w:lang w:val="en-US" w:eastAsia="zh-CN"/>
                    </w:rPr>
                    <w:t xml:space="preserve"> MHz</w:t>
                  </w:r>
                </w:p>
              </w:tc>
              <w:tc>
                <w:tcPr>
                  <w:tcW w:w="317" w:type="dxa"/>
                  <w:tcBorders>
                    <w:top w:val="single" w:color="auto" w:sz="4" w:space="0"/>
                    <w:left w:val="nil"/>
                    <w:bottom w:val="single" w:color="auto" w:sz="4" w:space="0"/>
                    <w:right w:val="nil"/>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b/>
                      <w:sz w:val="16"/>
                      <w:szCs w:val="16"/>
                      <w:lang w:eastAsia="zh-CN"/>
                    </w:rPr>
                  </w:pPr>
                  <w:r>
                    <w:rPr>
                      <w:b/>
                      <w:sz w:val="16"/>
                      <w:szCs w:val="16"/>
                      <w:lang w:eastAsia="zh-CN"/>
                    </w:rPr>
                    <w:t>-</w:t>
                  </w:r>
                </w:p>
              </w:tc>
              <w:tc>
                <w:tcPr>
                  <w:tcW w:w="1336" w:type="dxa"/>
                  <w:tcBorders>
                    <w:top w:val="single" w:color="auto" w:sz="4" w:space="0"/>
                    <w:left w:val="nil"/>
                    <w:bottom w:val="single" w:color="auto" w:sz="4" w:space="0"/>
                    <w:right w:val="single" w:color="auto" w:sz="4" w:space="0"/>
                  </w:tcBorders>
                </w:tcPr>
                <w:p>
                  <w:pPr>
                    <w:pStyle w:val="58"/>
                    <w:keepNext/>
                    <w:keepLines/>
                    <w:pageBreakBefore w:val="0"/>
                    <w:widowControl/>
                    <w:kinsoku/>
                    <w:overflowPunct/>
                    <w:topLinePunct w:val="0"/>
                    <w:autoSpaceDE/>
                    <w:autoSpaceDN/>
                    <w:bidi w:val="0"/>
                    <w:adjustRightInd/>
                    <w:snapToGrid/>
                    <w:spacing w:beforeLines="0" w:afterLines="0" w:line="240" w:lineRule="auto"/>
                    <w:textAlignment w:val="auto"/>
                    <w:rPr>
                      <w:b/>
                      <w:sz w:val="16"/>
                      <w:szCs w:val="16"/>
                      <w:lang w:val="en-US" w:eastAsia="zh-CN"/>
                    </w:rPr>
                  </w:pPr>
                  <w:r>
                    <w:rPr>
                      <w:b/>
                      <w:sz w:val="16"/>
                      <w:szCs w:val="16"/>
                      <w:lang w:val="en-US"/>
                    </w:rPr>
                    <w:t>[</w:t>
                  </w:r>
                  <w:r>
                    <w:rPr>
                      <w:b/>
                      <w:sz w:val="16"/>
                      <w:szCs w:val="16"/>
                    </w:rPr>
                    <w:t>1626.5</w:t>
                  </w:r>
                  <w:r>
                    <w:rPr>
                      <w:b/>
                      <w:sz w:val="16"/>
                      <w:szCs w:val="16"/>
                      <w:lang w:val="en-US"/>
                    </w:rPr>
                    <w:t>] MHz</w:t>
                  </w:r>
                </w:p>
              </w:tc>
              <w:tc>
                <w:tcPr>
                  <w:tcW w:w="89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overflowPunct/>
                    <w:topLinePunct w:val="0"/>
                    <w:autoSpaceDE/>
                    <w:autoSpaceDN/>
                    <w:bidi w:val="0"/>
                    <w:adjustRightInd/>
                    <w:snapToGrid/>
                    <w:spacing w:beforeLines="0" w:afterLines="0" w:line="240" w:lineRule="auto"/>
                    <w:textAlignment w:val="auto"/>
                    <w:rPr>
                      <w:rFonts w:cs="Arial"/>
                      <w:b/>
                      <w:sz w:val="16"/>
                      <w:szCs w:val="16"/>
                      <w:lang w:eastAsia="zh-CN"/>
                    </w:rPr>
                  </w:pPr>
                  <w:r>
                    <w:rPr>
                      <w:rFonts w:cs="Arial"/>
                      <w:b/>
                      <w:sz w:val="16"/>
                      <w:szCs w:val="16"/>
                      <w:lang w:eastAsia="zh-CN"/>
                    </w:rPr>
                    <w:t>TDD</w:t>
                  </w:r>
                </w:p>
              </w:tc>
            </w:tr>
            <w:tr>
              <w:tblPrEx>
                <w:tblCellMar>
                  <w:top w:w="0" w:type="dxa"/>
                  <w:left w:w="108" w:type="dxa"/>
                  <w:bottom w:w="0" w:type="dxa"/>
                  <w:right w:w="108" w:type="dxa"/>
                </w:tblCellMar>
              </w:tblPrEx>
              <w:trPr>
                <w:trHeight w:val="884" w:hRule="atLeast"/>
                <w:jc w:val="center"/>
              </w:trPr>
              <w:tc>
                <w:tcPr>
                  <w:tcW w:w="7822" w:type="dxa"/>
                  <w:gridSpan w:val="8"/>
                  <w:tcBorders>
                    <w:top w:val="single" w:color="auto" w:sz="4" w:space="0"/>
                    <w:left w:val="single" w:color="auto" w:sz="4" w:space="0"/>
                    <w:bottom w:val="single" w:color="auto" w:sz="4" w:space="0"/>
                    <w:right w:val="single" w:color="auto" w:sz="4" w:space="0"/>
                  </w:tcBorders>
                </w:tcPr>
                <w:p>
                  <w:pPr>
                    <w:pStyle w:val="70"/>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val="en-US"/>
                    </w:rPr>
                  </w:pPr>
                  <w:r>
                    <w:rPr>
                      <w:sz w:val="16"/>
                      <w:szCs w:val="16"/>
                      <w:lang w:val="en-US"/>
                    </w:rPr>
                    <w:t>NOTE</w:t>
                  </w:r>
                  <w:r>
                    <w:rPr>
                      <w:rFonts w:hint="eastAsia"/>
                      <w:sz w:val="16"/>
                      <w:szCs w:val="16"/>
                      <w:lang w:val="en-US" w:eastAsia="zh-CN"/>
                    </w:rPr>
                    <w:t xml:space="preserve"> 1</w:t>
                  </w:r>
                  <w:r>
                    <w:rPr>
                      <w:sz w:val="16"/>
                      <w:szCs w:val="16"/>
                      <w:lang w:val="en-US"/>
                    </w:rPr>
                    <w:t>:</w:t>
                  </w:r>
                  <w:r>
                    <w:rPr>
                      <w:rFonts w:hint="eastAsia"/>
                      <w:sz w:val="16"/>
                      <w:szCs w:val="16"/>
                      <w:lang w:val="en-US" w:eastAsia="zh-CN"/>
                    </w:rPr>
                    <w:t xml:space="preserve"> </w:t>
                  </w:r>
                  <w:r>
                    <w:rPr>
                      <w:sz w:val="16"/>
                      <w:szCs w:val="16"/>
                      <w:lang w:val="en-US"/>
                    </w:rPr>
                    <w:t>Satellite bands are numbered in descending order from 256</w:t>
                  </w:r>
                </w:p>
                <w:p>
                  <w:pPr>
                    <w:pStyle w:val="70"/>
                    <w:keepNext/>
                    <w:keepLines/>
                    <w:pageBreakBefore w:val="0"/>
                    <w:widowControl/>
                    <w:kinsoku/>
                    <w:overflowPunct/>
                    <w:topLinePunct w:val="0"/>
                    <w:autoSpaceDE/>
                    <w:autoSpaceDN/>
                    <w:bidi w:val="0"/>
                    <w:adjustRightInd/>
                    <w:snapToGrid/>
                    <w:spacing w:beforeLines="0" w:afterLines="0" w:line="240" w:lineRule="auto"/>
                    <w:textAlignment w:val="auto"/>
                    <w:rPr>
                      <w:sz w:val="16"/>
                      <w:szCs w:val="16"/>
                      <w:lang w:val="en-US"/>
                    </w:rPr>
                  </w:pPr>
                  <w:r>
                    <w:rPr>
                      <w:rFonts w:hint="eastAsia"/>
                      <w:sz w:val="16"/>
                      <w:szCs w:val="16"/>
                      <w:lang w:val="en-US"/>
                    </w:rPr>
                    <w:t>NOTE</w:t>
                  </w:r>
                  <w:r>
                    <w:rPr>
                      <w:rFonts w:hint="eastAsia"/>
                      <w:sz w:val="16"/>
                      <w:szCs w:val="16"/>
                      <w:lang w:val="en-US" w:eastAsia="zh-CN"/>
                    </w:rPr>
                    <w:t xml:space="preserve"> 2</w:t>
                  </w:r>
                  <w:r>
                    <w:rPr>
                      <w:rFonts w:hint="eastAsia"/>
                      <w:sz w:val="16"/>
                      <w:szCs w:val="16"/>
                      <w:lang w:val="en-US"/>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sz w:val="16"/>
                      <w:szCs w:val="16"/>
                      <w:lang w:val="en-US" w:eastAsia="zh-CN"/>
                    </w:rPr>
                    <w:t>s</w:t>
                  </w:r>
                  <w:r>
                    <w:rPr>
                      <w:rFonts w:hint="eastAsia"/>
                      <w:sz w:val="16"/>
                      <w:szCs w:val="16"/>
                      <w:lang w:val="en-US"/>
                    </w:rPr>
                    <w:t>.</w:t>
                  </w:r>
                </w:p>
              </w:tc>
            </w:tr>
          </w:tbl>
          <w:p>
            <w:pPr>
              <w:overflowPunct w:val="0"/>
              <w:autoSpaceDE w:val="0"/>
              <w:autoSpaceDN w:val="0"/>
              <w:adjustRightInd w:val="0"/>
              <w:spacing w:after="180"/>
              <w:textAlignment w:val="baseline"/>
              <w:rPr>
                <w:rFonts w:eastAsia="Malgun Gothic"/>
                <w:sz w:val="20"/>
                <w:szCs w:val="20"/>
                <w:lang w:eastAsia="ko-KR"/>
              </w:rPr>
            </w:pPr>
          </w:p>
          <w:p>
            <w:pPr>
              <w:pStyle w:val="34"/>
              <w:numPr>
                <w:ilvl w:val="1"/>
                <w:numId w:val="10"/>
              </w:numPr>
              <w:overflowPunct w:val="0"/>
              <w:autoSpaceDE w:val="0"/>
              <w:autoSpaceDN w:val="0"/>
              <w:adjustRightInd w:val="0"/>
              <w:spacing w:after="180"/>
              <w:ind w:firstLineChars="0"/>
              <w:textAlignment w:val="baseline"/>
              <w:rPr>
                <w:rFonts w:eastAsia="Malgun Gothic"/>
                <w:sz w:val="20"/>
                <w:szCs w:val="20"/>
                <w:lang w:eastAsia="ko-KR"/>
              </w:rPr>
            </w:pPr>
            <w:r>
              <w:rPr>
                <w:rFonts w:eastAsia="Malgun Gothic"/>
                <w:sz w:val="20"/>
                <w:szCs w:val="20"/>
                <w:lang w:eastAsia="ko-KR"/>
              </w:rPr>
              <w:t>Use a channel raster of 100 kHz and a Step size of &lt;1&gt;</w:t>
            </w:r>
          </w:p>
          <w:p>
            <w:pPr>
              <w:pStyle w:val="34"/>
              <w:numPr>
                <w:ilvl w:val="1"/>
                <w:numId w:val="10"/>
              </w:numPr>
              <w:overflowPunct w:val="0"/>
              <w:autoSpaceDE w:val="0"/>
              <w:autoSpaceDN w:val="0"/>
              <w:adjustRightInd w:val="0"/>
              <w:spacing w:after="180"/>
              <w:ind w:firstLineChars="0"/>
              <w:textAlignment w:val="baseline"/>
              <w:rPr>
                <w:rFonts w:eastAsia="Malgun Gothic"/>
                <w:sz w:val="20"/>
                <w:szCs w:val="20"/>
                <w:lang w:eastAsia="ko-KR"/>
              </w:rPr>
            </w:pPr>
            <w:r>
              <w:rPr>
                <w:rFonts w:eastAsia="Malgun Gothic"/>
                <w:sz w:val="20"/>
                <w:szCs w:val="20"/>
                <w:lang w:eastAsia="ko-KR"/>
              </w:rPr>
              <w:t>Both FDL_low and FUL_low equal 1616 MHz.</w:t>
            </w:r>
          </w:p>
          <w:p>
            <w:pPr>
              <w:pStyle w:val="34"/>
              <w:numPr>
                <w:ilvl w:val="1"/>
                <w:numId w:val="10"/>
              </w:numPr>
              <w:overflowPunct w:val="0"/>
              <w:autoSpaceDE w:val="0"/>
              <w:autoSpaceDN w:val="0"/>
              <w:adjustRightInd w:val="0"/>
              <w:spacing w:after="180"/>
              <w:ind w:firstLineChars="0"/>
              <w:textAlignment w:val="baseline"/>
              <w:rPr>
                <w:rFonts w:eastAsia="Malgun Gothic"/>
                <w:sz w:val="20"/>
                <w:szCs w:val="20"/>
                <w:lang w:eastAsia="ko-KR"/>
              </w:rPr>
            </w:pPr>
            <w:r>
              <w:rPr>
                <w:rFonts w:eastAsia="Malgun Gothic"/>
                <w:sz w:val="20"/>
                <w:szCs w:val="20"/>
                <w:lang w:eastAsia="ko-KR"/>
              </w:rPr>
              <w:t>For the range of both NDL and NUL:</w:t>
            </w:r>
          </w:p>
          <w:p>
            <w:pPr>
              <w:pStyle w:val="34"/>
              <w:numPr>
                <w:ilvl w:val="2"/>
                <w:numId w:val="10"/>
              </w:numPr>
              <w:overflowPunct/>
              <w:autoSpaceDE/>
              <w:autoSpaceDN/>
              <w:adjustRightInd/>
              <w:spacing w:after="180"/>
              <w:ind w:firstLineChars="0"/>
              <w:textAlignment w:val="auto"/>
              <w:rPr>
                <w:rFonts w:eastAsia="Malgun Gothic"/>
                <w:sz w:val="20"/>
                <w:szCs w:val="20"/>
                <w:lang w:eastAsia="ko-KR"/>
              </w:rPr>
            </w:pPr>
            <w:r>
              <w:rPr>
                <w:rFonts w:eastAsia="Malgun Gothic"/>
                <w:sz w:val="20"/>
                <w:szCs w:val="20"/>
                <w:lang w:eastAsia="ko-KR"/>
              </w:rPr>
              <w:t>Option 1: Starts from 2^18-2^16-1=196607 (below FDD NTN NOffs-DL) or 2^18-2^14-1=245759 (in-between FDD NTN NOffs-DL and FDD NTN NOffs-UL)</w:t>
            </w:r>
          </w:p>
          <w:p>
            <w:pPr>
              <w:pStyle w:val="34"/>
              <w:numPr>
                <w:ilvl w:val="2"/>
                <w:numId w:val="10"/>
              </w:numPr>
              <w:overflowPunct/>
              <w:autoSpaceDE/>
              <w:autoSpaceDN/>
              <w:adjustRightInd/>
              <w:spacing w:after="180"/>
              <w:ind w:firstLineChars="0"/>
              <w:textAlignment w:val="auto"/>
              <w:rPr>
                <w:rFonts w:eastAsia="Malgun Gothic"/>
                <w:sz w:val="20"/>
                <w:szCs w:val="20"/>
                <w:lang w:eastAsia="ko-KR"/>
              </w:rPr>
            </w:pPr>
            <w:r>
              <w:rPr>
                <w:rFonts w:eastAsia="Malgun Gothic"/>
                <w:sz w:val="20"/>
                <w:szCs w:val="20"/>
                <w:lang w:eastAsia="ko-KR"/>
              </w:rPr>
              <w:t>Option 2: {198196 - 198300}</w:t>
            </w:r>
          </w:p>
          <w:p>
            <w:pPr>
              <w:overflowPunct w:val="0"/>
              <w:autoSpaceDE w:val="0"/>
              <w:autoSpaceDN w:val="0"/>
              <w:adjustRightInd w:val="0"/>
              <w:spacing w:after="180"/>
              <w:textAlignment w:val="baseline"/>
              <w:rPr>
                <w:rFonts w:hint="default"/>
                <w:sz w:val="20"/>
                <w:szCs w:val="20"/>
                <w:vertAlign w:val="baseline"/>
                <w:lang w:val="en-US" w:eastAsia="zh-CN"/>
              </w:rPr>
            </w:pPr>
          </w:p>
        </w:tc>
      </w:tr>
    </w:tbl>
    <w:p>
      <w:pPr>
        <w:pStyle w:val="34"/>
        <w:numPr>
          <w:ilvl w:val="0"/>
          <w:numId w:val="0"/>
        </w:numPr>
        <w:rPr>
          <w:rFonts w:hint="eastAsia" w:cs="Times New Roman"/>
          <w:sz w:val="20"/>
          <w:szCs w:val="20"/>
          <w:lang w:val="en-US" w:eastAsia="zh-CN"/>
        </w:rPr>
      </w:pPr>
    </w:p>
    <w:p>
      <w:pPr>
        <w:pStyle w:val="34"/>
        <w:keepNext w:val="0"/>
        <w:keepLines w:val="0"/>
        <w:pageBreakBefore w:val="0"/>
        <w:widowControl/>
        <w:numPr>
          <w:ilvl w:val="0"/>
          <w:numId w:val="0"/>
        </w:numPr>
        <w:kinsoku/>
        <w:wordWrap/>
        <w:topLinePunct w:val="0"/>
        <w:bidi w:val="0"/>
        <w:snapToGrid/>
        <w:spacing w:before="0" w:beforeLines="50" w:line="260" w:lineRule="auto"/>
        <w:rPr>
          <w:rFonts w:eastAsia="Malgun Gothic"/>
          <w:sz w:val="20"/>
          <w:szCs w:val="20"/>
          <w:lang w:eastAsia="ko-KR"/>
        </w:rPr>
      </w:pPr>
      <w:r>
        <w:rPr>
          <w:rFonts w:hint="eastAsia" w:cs="Times New Roman"/>
          <w:sz w:val="20"/>
          <w:szCs w:val="20"/>
          <w:lang w:val="en-US" w:eastAsia="zh-CN"/>
        </w:rPr>
        <w:t xml:space="preserve">According to the way forward in last meeting, there are two options for </w:t>
      </w:r>
      <w:r>
        <w:rPr>
          <w:rFonts w:eastAsia="Malgun Gothic"/>
          <w:sz w:val="20"/>
          <w:szCs w:val="20"/>
          <w:lang w:eastAsia="ko-KR"/>
        </w:rPr>
        <w:t>the range of both NDL and NUL:</w:t>
      </w:r>
    </w:p>
    <w:p>
      <w:pPr>
        <w:pStyle w:val="34"/>
        <w:keepNext w:val="0"/>
        <w:keepLines w:val="0"/>
        <w:pageBreakBefore w:val="0"/>
        <w:widowControl/>
        <w:numPr>
          <w:ilvl w:val="2"/>
          <w:numId w:val="10"/>
        </w:numPr>
        <w:kinsoku/>
        <w:wordWrap/>
        <w:overflowPunct/>
        <w:topLinePunct w:val="0"/>
        <w:autoSpaceDE/>
        <w:autoSpaceDN/>
        <w:bidi w:val="0"/>
        <w:adjustRightInd/>
        <w:snapToGrid/>
        <w:spacing w:before="0" w:beforeLines="50" w:line="260" w:lineRule="auto"/>
        <w:ind w:firstLineChars="0"/>
        <w:textAlignment w:val="auto"/>
        <w:rPr>
          <w:rFonts w:eastAsia="Malgun Gothic"/>
          <w:sz w:val="20"/>
          <w:szCs w:val="20"/>
          <w:lang w:eastAsia="ko-KR"/>
        </w:rPr>
      </w:pPr>
      <w:r>
        <w:rPr>
          <w:rFonts w:eastAsia="Malgun Gothic"/>
          <w:sz w:val="20"/>
          <w:szCs w:val="20"/>
          <w:lang w:eastAsia="ko-KR"/>
        </w:rPr>
        <w:t>Option 1: Starts from 2^18-2^16-1=196607 (below FDD NTN NOffs-DL) or 2^18-2^14-1=245759 (in-between FDD NTN NOffs-DL and FDD NTN NOffs-UL)</w:t>
      </w:r>
    </w:p>
    <w:p>
      <w:pPr>
        <w:pStyle w:val="34"/>
        <w:keepNext w:val="0"/>
        <w:keepLines w:val="0"/>
        <w:pageBreakBefore w:val="0"/>
        <w:widowControl/>
        <w:numPr>
          <w:ilvl w:val="2"/>
          <w:numId w:val="10"/>
        </w:numPr>
        <w:kinsoku/>
        <w:wordWrap/>
        <w:overflowPunct/>
        <w:topLinePunct w:val="0"/>
        <w:autoSpaceDE/>
        <w:autoSpaceDN/>
        <w:bidi w:val="0"/>
        <w:adjustRightInd/>
        <w:snapToGrid/>
        <w:spacing w:before="0" w:beforeLines="50" w:line="260" w:lineRule="auto"/>
        <w:ind w:firstLineChars="0"/>
        <w:textAlignment w:val="auto"/>
        <w:rPr>
          <w:rFonts w:eastAsia="Malgun Gothic"/>
          <w:sz w:val="20"/>
          <w:szCs w:val="20"/>
          <w:lang w:eastAsia="ko-KR"/>
        </w:rPr>
      </w:pPr>
      <w:r>
        <w:rPr>
          <w:rFonts w:eastAsia="Malgun Gothic"/>
          <w:sz w:val="20"/>
          <w:szCs w:val="20"/>
          <w:lang w:eastAsia="ko-KR"/>
        </w:rPr>
        <w:t>Option 2: {198196 - 198300}</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eastAsia="宋体"/>
          <w:sz w:val="20"/>
          <w:szCs w:val="20"/>
          <w:highlight w:val="none"/>
          <w:lang w:val="en-US" w:eastAsia="zh-CN"/>
        </w:rPr>
      </w:pPr>
      <w:r>
        <w:rPr>
          <w:rFonts w:hint="eastAsia" w:cs="Times New Roman"/>
          <w:sz w:val="20"/>
          <w:szCs w:val="20"/>
          <w:lang w:val="en-US" w:eastAsia="zh-CN"/>
        </w:rPr>
        <w:t xml:space="preserve">Based on the analysis in [3], we propose to start from </w:t>
      </w:r>
      <w:r>
        <w:rPr>
          <w:rFonts w:eastAsia="Malgun Gothic"/>
          <w:sz w:val="20"/>
          <w:szCs w:val="20"/>
          <w:lang w:eastAsia="ko-KR"/>
        </w:rPr>
        <w:t xml:space="preserve">2^18-2^16-1=196607 (below FDD NTN NOffs-DL) </w:t>
      </w:r>
      <w:r>
        <w:rPr>
          <w:rFonts w:hint="eastAsia" w:cs="Times New Roman"/>
          <w:sz w:val="20"/>
          <w:szCs w:val="20"/>
          <w:lang w:val="en-US" w:eastAsia="zh-CN"/>
        </w:rPr>
        <w:t xml:space="preserve">for </w:t>
      </w:r>
      <w:r>
        <w:rPr>
          <w:rFonts w:eastAsia="Malgun Gothic"/>
          <w:sz w:val="20"/>
          <w:szCs w:val="20"/>
          <w:lang w:eastAsia="ko-KR"/>
        </w:rPr>
        <w:t>the range of both NDL and NUL</w:t>
      </w:r>
      <w:r>
        <w:rPr>
          <w:rFonts w:hint="eastAsia" w:eastAsia="宋体"/>
          <w:sz w:val="20"/>
          <w:szCs w:val="20"/>
          <w:lang w:val="en-US" w:eastAsia="zh-CN"/>
        </w:rPr>
        <w:t xml:space="preserve"> and channel numbers for the new TDD NTN NB-IoT operating band can be defined as Table 2.1-1</w:t>
      </w:r>
      <w:r>
        <w:rPr>
          <w:rFonts w:hint="eastAsia" w:cs="Times New Roman"/>
          <w:sz w:val="20"/>
          <w:szCs w:val="20"/>
          <w:lang w:val="en-US" w:eastAsia="zh-CN"/>
        </w:rPr>
        <w:t>.</w:t>
      </w:r>
      <w:r>
        <w:rPr>
          <w:rFonts w:hint="eastAsia" w:eastAsia="宋体"/>
          <w:sz w:val="20"/>
          <w:szCs w:val="20"/>
          <w:highlight w:val="none"/>
          <w:lang w:val="en-US" w:eastAsia="zh-CN"/>
        </w:rPr>
        <w:t xml:space="preserve"> </w:t>
      </w:r>
    </w:p>
    <w:p>
      <w:pPr>
        <w:pStyle w:val="56"/>
        <w:rPr>
          <w:rFonts w:hint="default" w:eastAsia="宋体"/>
          <w:lang w:val="en-US" w:eastAsia="zh-CN"/>
        </w:rPr>
      </w:pPr>
      <w:r>
        <w:t xml:space="preserve">Table </w:t>
      </w:r>
      <w:r>
        <w:rPr>
          <w:rFonts w:hint="eastAsia"/>
          <w:lang w:val="en-US" w:eastAsia="zh-CN"/>
        </w:rPr>
        <w:t>2.1</w:t>
      </w:r>
      <w:r>
        <w:t xml:space="preserve">-1: E-UTRA channel </w:t>
      </w:r>
      <w:r>
        <w:rPr>
          <w:rFonts w:hint="eastAsia"/>
          <w:lang w:val="en-US" w:eastAsia="zh-CN"/>
        </w:rPr>
        <w:t>numbers</w:t>
      </w:r>
    </w:p>
    <w:tbl>
      <w:tblPr>
        <w:tblStyle w:val="23"/>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19"/>
        <w:gridCol w:w="924"/>
        <w:gridCol w:w="1010"/>
        <w:gridCol w:w="1935"/>
        <w:gridCol w:w="924"/>
        <w:gridCol w:w="917"/>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E-UTRA Operating</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Band</w:t>
            </w:r>
          </w:p>
        </w:tc>
        <w:tc>
          <w:tcPr>
            <w:tcW w:w="919" w:type="dxa"/>
            <w:vMerge w:val="restart"/>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t>ΔF</w:t>
            </w:r>
            <w:r>
              <w:rPr>
                <w:vertAlign w:val="subscript"/>
              </w:rPr>
              <w:t>Raster</w:t>
            </w:r>
            <w:r>
              <w:t xml:space="preserve"> (kHz)</w:t>
            </w:r>
          </w:p>
        </w:tc>
        <w:tc>
          <w:tcPr>
            <w:tcW w:w="3869" w:type="dxa"/>
            <w:gridSpan w:val="3"/>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Downlink</w:t>
            </w:r>
          </w:p>
        </w:tc>
        <w:tc>
          <w:tcPr>
            <w:tcW w:w="3776" w:type="dxa"/>
            <w:gridSpan w:val="3"/>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p>
        </w:tc>
        <w:tc>
          <w:tcPr>
            <w:tcW w:w="919" w:type="dxa"/>
            <w:vMerge w:val="continue"/>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p>
        </w:tc>
        <w:tc>
          <w:tcPr>
            <w:tcW w:w="924"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F</w:t>
            </w:r>
            <w:r>
              <w:rPr>
                <w:rFonts w:cs="Arial"/>
                <w:vertAlign w:val="subscript"/>
              </w:rPr>
              <w:t xml:space="preserve">DL_low </w:t>
            </w:r>
            <w:r>
              <w:rPr>
                <w:rFonts w:cs="Arial"/>
              </w:rPr>
              <w:t>(MHz)</w:t>
            </w:r>
          </w:p>
        </w:tc>
        <w:tc>
          <w:tcPr>
            <w:tcW w:w="1010"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N</w:t>
            </w:r>
            <w:r>
              <w:rPr>
                <w:rFonts w:cs="Arial"/>
                <w:vertAlign w:val="subscript"/>
              </w:rPr>
              <w:t>Offs-DL</w:t>
            </w:r>
          </w:p>
        </w:tc>
        <w:tc>
          <w:tcPr>
            <w:tcW w:w="1935"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vertAlign w:val="subscript"/>
              </w:rPr>
            </w:pPr>
            <w:r>
              <w:rPr>
                <w:rFonts w:cs="Arial"/>
              </w:rPr>
              <w:t>Range of N</w:t>
            </w:r>
            <w:r>
              <w:rPr>
                <w:rFonts w:cs="Arial"/>
                <w:vertAlign w:val="subscript"/>
              </w:rPr>
              <w:t>DL</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eastAsia="Yu Mincho"/>
              </w:rPr>
              <w:t>(First – &lt;Step size&gt; – Last)</w:t>
            </w:r>
          </w:p>
        </w:tc>
        <w:tc>
          <w:tcPr>
            <w:tcW w:w="924"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F</w:t>
            </w:r>
            <w:r>
              <w:rPr>
                <w:rFonts w:cs="Arial"/>
                <w:vertAlign w:val="subscript"/>
              </w:rPr>
              <w:t xml:space="preserve">UL_low </w:t>
            </w:r>
            <w:r>
              <w:rPr>
                <w:rFonts w:cs="Arial"/>
              </w:rPr>
              <w:t>(MHz)</w:t>
            </w:r>
          </w:p>
        </w:tc>
        <w:tc>
          <w:tcPr>
            <w:tcW w:w="917"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N</w:t>
            </w:r>
            <w:r>
              <w:rPr>
                <w:rFonts w:cs="Arial"/>
                <w:vertAlign w:val="subscript"/>
              </w:rPr>
              <w:t>Offs-UL</w:t>
            </w:r>
          </w:p>
        </w:tc>
        <w:tc>
          <w:tcPr>
            <w:tcW w:w="1935"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vertAlign w:val="subscript"/>
              </w:rPr>
            </w:pPr>
            <w:r>
              <w:rPr>
                <w:rFonts w:cs="Arial"/>
              </w:rPr>
              <w:t>Range of N</w:t>
            </w:r>
            <w:r>
              <w:rPr>
                <w:rFonts w:cs="Arial"/>
                <w:vertAlign w:val="subscript"/>
              </w:rPr>
              <w:t>UL</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hint="eastAsia" w:cs="Arial"/>
                <w:szCs w:val="18"/>
                <w:lang w:val="en-US" w:eastAsia="zh-CN"/>
              </w:rPr>
              <w:t>[</w:t>
            </w:r>
            <w:r>
              <w:rPr>
                <w:rFonts w:hint="eastAsia" w:cs="Arial"/>
                <w:lang w:val="en-US" w:eastAsia="zh-CN"/>
              </w:rPr>
              <w:t>249</w:t>
            </w:r>
            <w:r>
              <w:rPr>
                <w:rFonts w:hint="eastAsia" w:cs="Arial"/>
                <w:szCs w:val="18"/>
                <w:lang w:val="en-US" w:eastAsia="zh-CN"/>
              </w:rPr>
              <w:t>]</w:t>
            </w:r>
          </w:p>
        </w:tc>
        <w:tc>
          <w:tcPr>
            <w:tcW w:w="919"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hint="eastAsia" w:cs="Arial"/>
                <w:szCs w:val="18"/>
                <w:lang w:val="en-US" w:eastAsia="zh-CN"/>
              </w:rPr>
              <w:t>100</w:t>
            </w:r>
          </w:p>
        </w:tc>
        <w:tc>
          <w:tcPr>
            <w:tcW w:w="924"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hint="eastAsia" w:cs="Arial"/>
                <w:szCs w:val="18"/>
                <w:lang w:val="en-US" w:eastAsia="zh-CN"/>
              </w:rPr>
              <w:t>1616</w:t>
            </w:r>
          </w:p>
        </w:tc>
        <w:tc>
          <w:tcPr>
            <w:tcW w:w="1010"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lang w:val="en-US" w:eastAsia="zh-CN"/>
              </w:rPr>
            </w:pPr>
            <w:r>
              <w:rPr>
                <w:rFonts w:hint="eastAsia" w:cs="Arial"/>
                <w:lang w:val="en-US" w:eastAsia="zh-CN"/>
              </w:rPr>
              <w:t>[196607]</w:t>
            </w:r>
          </w:p>
        </w:tc>
        <w:tc>
          <w:tcPr>
            <w:tcW w:w="1935"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lang w:val="en-US" w:eastAsia="zh-CN"/>
              </w:rPr>
            </w:pPr>
            <w:r>
              <w:rPr>
                <w:rFonts w:hint="eastAsia" w:cs="Arial"/>
                <w:lang w:val="en-US" w:eastAsia="zh-CN"/>
              </w:rPr>
              <w:t>[196607</w:t>
            </w:r>
            <w:r>
              <w:rPr>
                <w:rFonts w:hint="eastAsia" w:cs="Arial"/>
              </w:rPr>
              <w:t>-&lt;1&gt;-</w:t>
            </w:r>
            <w:r>
              <w:rPr>
                <w:rFonts w:hint="eastAsia" w:cs="Arial"/>
                <w:lang w:val="en-US" w:eastAsia="zh-CN"/>
              </w:rPr>
              <w:t>196711]</w:t>
            </w:r>
          </w:p>
        </w:tc>
        <w:tc>
          <w:tcPr>
            <w:tcW w:w="924"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hint="eastAsia" w:cs="Arial"/>
                <w:szCs w:val="18"/>
                <w:lang w:val="en-US" w:eastAsia="zh-CN"/>
              </w:rPr>
              <w:t>1616</w:t>
            </w:r>
          </w:p>
        </w:tc>
        <w:tc>
          <w:tcPr>
            <w:tcW w:w="917"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val="en-US" w:eastAsia="zh-CN"/>
              </w:rPr>
            </w:pPr>
            <w:r>
              <w:rPr>
                <w:rFonts w:hint="eastAsia" w:cs="Arial"/>
                <w:lang w:val="en-US" w:eastAsia="zh-CN"/>
              </w:rPr>
              <w:t>[196607]</w:t>
            </w:r>
          </w:p>
        </w:tc>
        <w:tc>
          <w:tcPr>
            <w:tcW w:w="1935"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val="en-US" w:eastAsia="zh-CN"/>
              </w:rPr>
            </w:pPr>
            <w:r>
              <w:rPr>
                <w:rFonts w:hint="eastAsia" w:cs="Arial"/>
                <w:lang w:val="en-US" w:eastAsia="zh-CN"/>
              </w:rPr>
              <w:t>[196607</w:t>
            </w:r>
            <w:r>
              <w:rPr>
                <w:rFonts w:hint="eastAsia" w:cs="Arial"/>
              </w:rPr>
              <w:t>-&lt;1&gt;-</w:t>
            </w:r>
            <w:r>
              <w:rPr>
                <w:rFonts w:hint="eastAsia" w:cs="Arial"/>
                <w:lang w:val="en-US" w:eastAsia="zh-CN"/>
              </w:rPr>
              <w:t>196711]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bidi w:val="0"/>
        <w:jc w:val="both"/>
        <w:rPr>
          <w:rFonts w:hint="eastAsia"/>
          <w:b/>
          <w:bCs/>
          <w:sz w:val="20"/>
          <w:szCs w:val="18"/>
          <w:lang w:val="en-US" w:eastAsia="zh-CN"/>
        </w:rPr>
      </w:pPr>
      <w:r>
        <w:rPr>
          <w:rFonts w:hint="eastAsia"/>
          <w:b/>
          <w:bCs/>
          <w:sz w:val="20"/>
          <w:szCs w:val="18"/>
          <w:lang w:val="en-US" w:eastAsia="zh-CN"/>
        </w:rPr>
        <w:t xml:space="preserve">Proposal 1: It is proposed to start from 2^18-2^16-1=196607 (below FDD NTN NOffs-DL) for the range of both NDL and NUL and channel numbers for the new TDD NTN NB-IoT operating band can be defined as Table 2.1-1. </w:t>
      </w:r>
    </w:p>
    <w:p>
      <w:pPr>
        <w:pStyle w:val="3"/>
        <w:numPr>
          <w:ilvl w:val="1"/>
          <w:numId w:val="0"/>
        </w:numPr>
        <w:bidi w:val="0"/>
        <w:ind w:leftChars="0" w:right="0" w:rightChars="0"/>
        <w:rPr>
          <w:rFonts w:hint="eastAsia"/>
          <w:sz w:val="24"/>
          <w:szCs w:val="18"/>
          <w:lang w:val="en-US" w:eastAsia="zh-CN"/>
        </w:rPr>
      </w:pPr>
      <w:r>
        <w:rPr>
          <w:rFonts w:hint="eastAsia"/>
          <w:sz w:val="24"/>
          <w:szCs w:val="18"/>
          <w:lang w:val="en-US" w:eastAsia="zh-CN"/>
        </w:rPr>
        <w:t>2.2 UE RF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outlineLvl w:val="2"/>
              <w:rPr>
                <w:b/>
                <w:bCs/>
                <w:sz w:val="20"/>
                <w:szCs w:val="20"/>
                <w:u w:val="single"/>
                <w:lang w:val="en-US" w:eastAsia="zh-CN"/>
              </w:rPr>
            </w:pPr>
            <w:r>
              <w:rPr>
                <w:b/>
                <w:sz w:val="20"/>
                <w:szCs w:val="20"/>
                <w:u w:val="single"/>
                <w:lang w:eastAsia="ko-KR"/>
              </w:rPr>
              <w:t>Issue 1-3: Impact on UE RF requirements</w:t>
            </w:r>
          </w:p>
          <w:p>
            <w:pPr>
              <w:overflowPunct w:val="0"/>
              <w:autoSpaceDE w:val="0"/>
              <w:autoSpaceDN w:val="0"/>
              <w:adjustRightInd w:val="0"/>
              <w:spacing w:after="120" w:line="252" w:lineRule="auto"/>
              <w:textAlignment w:val="baseline"/>
              <w:rPr>
                <w:rFonts w:eastAsia="Malgun Gothic"/>
                <w:b/>
                <w:bCs/>
                <w:sz w:val="20"/>
                <w:szCs w:val="20"/>
                <w:lang w:eastAsia="ko-KR"/>
              </w:rPr>
            </w:pPr>
            <w:r>
              <w:rPr>
                <w:rFonts w:eastAsia="Malgun Gothic"/>
                <w:b/>
                <w:bCs/>
                <w:sz w:val="20"/>
                <w:szCs w:val="20"/>
                <w:highlight w:val="green"/>
                <w:lang w:eastAsia="ko-KR"/>
              </w:rPr>
              <w:t>Agreement:</w:t>
            </w:r>
          </w:p>
          <w:p>
            <w:pPr>
              <w:pStyle w:val="34"/>
              <w:numPr>
                <w:ilvl w:val="0"/>
                <w:numId w:val="11"/>
              </w:numPr>
              <w:overflowPunct w:val="0"/>
              <w:autoSpaceDE w:val="0"/>
              <w:autoSpaceDN w:val="0"/>
              <w:adjustRightInd w:val="0"/>
              <w:spacing w:after="180"/>
              <w:ind w:left="360" w:firstLineChars="0"/>
              <w:textAlignment w:val="baseline"/>
              <w:rPr>
                <w:sz w:val="20"/>
                <w:szCs w:val="20"/>
                <w:lang w:eastAsia="ja-JP"/>
              </w:rPr>
            </w:pPr>
            <w:r>
              <w:rPr>
                <w:rFonts w:eastAsia="Malgun Gothic"/>
                <w:sz w:val="20"/>
                <w:szCs w:val="20"/>
                <w:lang w:eastAsia="ko-KR"/>
              </w:rPr>
              <w:t>The assessment of the impact on UE RF requirements (TS 36.102) shown in the table below will serve as a baseline for further discussion on the exact requirement definition.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1231"/>
              <w:gridCol w:w="1133"/>
              <w:gridCol w:w="4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jc w:val="center"/>
                    <w:textAlignment w:val="baseline"/>
                    <w:rPr>
                      <w:rFonts w:eastAsia="Yu Mincho"/>
                      <w:b/>
                      <w:bCs/>
                      <w:sz w:val="20"/>
                      <w:szCs w:val="20"/>
                    </w:rPr>
                  </w:pPr>
                  <w:r>
                    <w:rPr>
                      <w:rFonts w:eastAsia="Yu Mincho"/>
                      <w:b/>
                      <w:bCs/>
                      <w:sz w:val="20"/>
                      <w:szCs w:val="20"/>
                    </w:rPr>
                    <w:t>36.102 Clause: Requirements</w:t>
                  </w:r>
                </w:p>
              </w:tc>
              <w:tc>
                <w:tcPr>
                  <w:tcW w:w="1260" w:type="dxa"/>
                </w:tcPr>
                <w:p>
                  <w:pPr>
                    <w:overflowPunct w:val="0"/>
                    <w:autoSpaceDE w:val="0"/>
                    <w:autoSpaceDN w:val="0"/>
                    <w:adjustRightInd w:val="0"/>
                    <w:spacing w:after="180"/>
                    <w:jc w:val="center"/>
                    <w:textAlignment w:val="baseline"/>
                    <w:rPr>
                      <w:rFonts w:eastAsia="Yu Mincho"/>
                      <w:b/>
                      <w:bCs/>
                      <w:sz w:val="20"/>
                      <w:szCs w:val="20"/>
                    </w:rPr>
                  </w:pPr>
                  <w:r>
                    <w:rPr>
                      <w:rFonts w:eastAsia="Yu Mincho"/>
                      <w:b/>
                      <w:bCs/>
                      <w:sz w:val="20"/>
                      <w:szCs w:val="20"/>
                    </w:rPr>
                    <w:t>Band Agnostic</w:t>
                  </w:r>
                </w:p>
              </w:tc>
              <w:tc>
                <w:tcPr>
                  <w:tcW w:w="1170" w:type="dxa"/>
                </w:tcPr>
                <w:p>
                  <w:pPr>
                    <w:overflowPunct w:val="0"/>
                    <w:autoSpaceDE w:val="0"/>
                    <w:autoSpaceDN w:val="0"/>
                    <w:adjustRightInd w:val="0"/>
                    <w:spacing w:after="180"/>
                    <w:jc w:val="center"/>
                    <w:textAlignment w:val="baseline"/>
                    <w:rPr>
                      <w:rFonts w:eastAsia="Yu Mincho"/>
                      <w:b/>
                      <w:bCs/>
                      <w:sz w:val="20"/>
                      <w:szCs w:val="20"/>
                    </w:rPr>
                  </w:pPr>
                  <w:r>
                    <w:rPr>
                      <w:rFonts w:eastAsia="Yu Mincho"/>
                      <w:b/>
                      <w:bCs/>
                      <w:sz w:val="20"/>
                      <w:szCs w:val="20"/>
                    </w:rPr>
                    <w:t xml:space="preserve">Re-use for TDD band </w:t>
                  </w:r>
                  <w:r>
                    <w:rPr>
                      <w:rFonts w:eastAsia="Malgun Gothic"/>
                      <w:sz w:val="20"/>
                      <w:szCs w:val="20"/>
                      <w:lang w:eastAsia="ko-KR"/>
                    </w:rPr>
                    <w:t>[249]</w:t>
                  </w:r>
                </w:p>
              </w:tc>
              <w:tc>
                <w:tcPr>
                  <w:tcW w:w="4236" w:type="dxa"/>
                </w:tcPr>
                <w:p>
                  <w:pPr>
                    <w:overflowPunct w:val="0"/>
                    <w:autoSpaceDE w:val="0"/>
                    <w:autoSpaceDN w:val="0"/>
                    <w:adjustRightInd w:val="0"/>
                    <w:spacing w:after="180"/>
                    <w:jc w:val="center"/>
                    <w:textAlignment w:val="baseline"/>
                    <w:rPr>
                      <w:rFonts w:eastAsia="Yu Mincho"/>
                      <w:b/>
                      <w:bCs/>
                      <w:sz w:val="20"/>
                      <w:szCs w:val="20"/>
                    </w:rPr>
                  </w:pPr>
                  <w:r>
                    <w:rPr>
                      <w:rFonts w:eastAsia="Yu Mincho"/>
                      <w:b/>
                      <w:bCs/>
                      <w:sz w:val="20"/>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6.2B.1</w:t>
                  </w:r>
                  <w:r>
                    <w:rPr>
                      <w:rFonts w:eastAsia="Yu Mincho"/>
                      <w:sz w:val="20"/>
                      <w:szCs w:val="20"/>
                    </w:rPr>
                    <w:t>:</w:t>
                  </w:r>
                </w:p>
                <w:p>
                  <w:pPr>
                    <w:overflowPunct w:val="0"/>
                    <w:autoSpaceDE w:val="0"/>
                    <w:autoSpaceDN w:val="0"/>
                    <w:adjustRightInd w:val="0"/>
                    <w:spacing w:after="180"/>
                    <w:textAlignment w:val="baseline"/>
                    <w:rPr>
                      <w:rFonts w:eastAsia="Yu Mincho"/>
                      <w:sz w:val="20"/>
                      <w:szCs w:val="20"/>
                    </w:rPr>
                  </w:pPr>
                  <w:r>
                    <w:rPr>
                      <w:rFonts w:eastAsia="Yu Mincho"/>
                      <w:sz w:val="20"/>
                      <w:szCs w:val="20"/>
                      <w:lang w:eastAsia="zh-CN"/>
                    </w:rPr>
                    <w:t xml:space="preserve">UE </w:t>
                  </w:r>
                  <w:r>
                    <w:rPr>
                      <w:rFonts w:eastAsia="Yu Mincho"/>
                      <w:sz w:val="20"/>
                      <w:szCs w:val="20"/>
                    </w:rPr>
                    <w:t>maximum output power</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Support UE power class 3 (23 dBm)</w:t>
                  </w:r>
                </w:p>
                <w:p>
                  <w:pPr>
                    <w:overflowPunct w:val="0"/>
                    <w:autoSpaceDE w:val="0"/>
                    <w:autoSpaceDN w:val="0"/>
                    <w:adjustRightInd w:val="0"/>
                    <w:spacing w:after="180"/>
                    <w:textAlignment w:val="baseline"/>
                    <w:rPr>
                      <w:rFonts w:eastAsia="Yu Mincho"/>
                      <w:sz w:val="20"/>
                      <w:szCs w:val="20"/>
                    </w:rPr>
                  </w:pPr>
                  <w:r>
                    <w:rPr>
                      <w:rFonts w:eastAsia="Yu Mincho"/>
                      <w:sz w:val="20"/>
                      <w:szCs w:val="20"/>
                    </w:rPr>
                    <w:t>Support UE power class 5 (20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6.2B.1</w:t>
                  </w:r>
                  <w:r>
                    <w:rPr>
                      <w:rFonts w:eastAsia="Yu Mincho"/>
                      <w:sz w:val="20"/>
                      <w:szCs w:val="20"/>
                    </w:rPr>
                    <w:t>:</w:t>
                  </w:r>
                </w:p>
                <w:p>
                  <w:pPr>
                    <w:overflowPunct w:val="0"/>
                    <w:autoSpaceDE w:val="0"/>
                    <w:autoSpaceDN w:val="0"/>
                    <w:adjustRightInd w:val="0"/>
                    <w:spacing w:after="180"/>
                    <w:textAlignment w:val="baseline"/>
                    <w:rPr>
                      <w:rFonts w:eastAsia="Yu Mincho"/>
                      <w:sz w:val="20"/>
                      <w:szCs w:val="20"/>
                    </w:rPr>
                  </w:pPr>
                  <w:r>
                    <w:rPr>
                      <w:rFonts w:eastAsia="Yu Mincho"/>
                      <w:sz w:val="20"/>
                      <w:szCs w:val="20"/>
                      <w:lang w:eastAsia="zh-CN"/>
                    </w:rPr>
                    <w:t xml:space="preserve">UE </w:t>
                  </w:r>
                  <w:r>
                    <w:rPr>
                      <w:rFonts w:eastAsia="Yu Mincho"/>
                      <w:sz w:val="20"/>
                      <w:szCs w:val="20"/>
                    </w:rPr>
                    <w:t>maximum output power</w:t>
                  </w:r>
                  <w:r>
                    <w:rPr>
                      <w:rFonts w:eastAsia="PMingLiU"/>
                      <w:sz w:val="20"/>
                      <w:szCs w:val="20"/>
                      <w:lang w:eastAsia="zh-TW"/>
                    </w:rPr>
                    <w:t xml:space="preserve"> tolerance</w:t>
                  </w:r>
                </w:p>
              </w:tc>
              <w:tc>
                <w:tcPr>
                  <w:tcW w:w="1260" w:type="dxa"/>
                </w:tcPr>
                <w:p>
                  <w:pPr>
                    <w:overflowPunct w:val="0"/>
                    <w:autoSpaceDE w:val="0"/>
                    <w:autoSpaceDN w:val="0"/>
                    <w:adjustRightInd w:val="0"/>
                    <w:spacing w:after="180"/>
                    <w:textAlignment w:val="baseline"/>
                    <w:rPr>
                      <w:rFonts w:eastAsia="PMingLiU"/>
                      <w:sz w:val="20"/>
                      <w:szCs w:val="20"/>
                      <w:lang w:eastAsia="zh-TW"/>
                    </w:rPr>
                  </w:pPr>
                  <w:r>
                    <w:rPr>
                      <w:rFonts w:hint="eastAsia" w:ascii="PMingLiU" w:hAnsi="PMingLiU" w:eastAsia="PMingLiU"/>
                      <w:sz w:val="20"/>
                      <w:szCs w:val="20"/>
                      <w:lang w:eastAsia="zh-TW"/>
                    </w:rPr>
                    <w:t xml:space="preserve"> </w:t>
                  </w:r>
                  <w:r>
                    <w:rPr>
                      <w:rFonts w:hint="eastAsia" w:eastAsia="PMingLiU"/>
                      <w:sz w:val="20"/>
                      <w:szCs w:val="20"/>
                      <w:lang w:eastAsia="zh-TW"/>
                    </w:rPr>
                    <w:t>N</w:t>
                  </w:r>
                  <w:r>
                    <w:rPr>
                      <w:rFonts w:eastAsia="PMingLiU"/>
                      <w:sz w:val="20"/>
                      <w:szCs w:val="20"/>
                      <w:lang w:eastAsia="zh-TW"/>
                    </w:rPr>
                    <w:t>o</w:t>
                  </w:r>
                </w:p>
              </w:tc>
              <w:tc>
                <w:tcPr>
                  <w:tcW w:w="1170" w:type="dxa"/>
                </w:tcPr>
                <w:p>
                  <w:pPr>
                    <w:overflowPunct w:val="0"/>
                    <w:autoSpaceDE w:val="0"/>
                    <w:autoSpaceDN w:val="0"/>
                    <w:adjustRightInd w:val="0"/>
                    <w:spacing w:after="180"/>
                    <w:textAlignment w:val="baseline"/>
                    <w:rPr>
                      <w:rFonts w:eastAsia="Yu Mincho"/>
                      <w:sz w:val="20"/>
                      <w:szCs w:val="20"/>
                    </w:rPr>
                  </w:pP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6.2B.2</w:t>
                  </w:r>
                  <w:r>
                    <w:rPr>
                      <w:rFonts w:eastAsia="Yu Mincho"/>
                      <w:sz w:val="20"/>
                      <w:szCs w:val="20"/>
                    </w:rPr>
                    <w:t>: UE maximum output power reduction</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6.2B.3</w:t>
                  </w:r>
                  <w:r>
                    <w:rPr>
                      <w:rFonts w:eastAsia="Yu Mincho"/>
                      <w:sz w:val="20"/>
                      <w:szCs w:val="20"/>
                    </w:rPr>
                    <w:t>:</w:t>
                  </w:r>
                </w:p>
                <w:p>
                  <w:pPr>
                    <w:overflowPunct w:val="0"/>
                    <w:autoSpaceDE w:val="0"/>
                    <w:autoSpaceDN w:val="0"/>
                    <w:adjustRightInd w:val="0"/>
                    <w:spacing w:after="180"/>
                    <w:textAlignment w:val="baseline"/>
                    <w:rPr>
                      <w:rFonts w:eastAsia="Yu Mincho"/>
                      <w:sz w:val="20"/>
                      <w:szCs w:val="20"/>
                    </w:rPr>
                  </w:pPr>
                  <w:r>
                    <w:rPr>
                      <w:rFonts w:eastAsia="Yu Mincho"/>
                      <w:sz w:val="20"/>
                      <w:szCs w:val="20"/>
                    </w:rPr>
                    <w:t>UE additional maximum output power reduction</w:t>
                  </w:r>
                </w:p>
              </w:tc>
              <w:tc>
                <w:tcPr>
                  <w:tcW w:w="1260" w:type="dxa"/>
                </w:tcPr>
                <w:p>
                  <w:pPr>
                    <w:overflowPunct w:val="0"/>
                    <w:autoSpaceDE w:val="0"/>
                    <w:autoSpaceDN w:val="0"/>
                    <w:adjustRightInd w:val="0"/>
                    <w:spacing w:after="180"/>
                    <w:textAlignment w:val="baseline"/>
                    <w:rPr>
                      <w:rFonts w:eastAsia="Yu Mincho"/>
                      <w:sz w:val="20"/>
                      <w:szCs w:val="20"/>
                    </w:rPr>
                  </w:pPr>
                </w:p>
                <w:p>
                  <w:pPr>
                    <w:overflowPunct w:val="0"/>
                    <w:autoSpaceDE w:val="0"/>
                    <w:autoSpaceDN w:val="0"/>
                    <w:adjustRightInd w:val="0"/>
                    <w:spacing w:after="180"/>
                    <w:textAlignment w:val="baseline"/>
                    <w:rPr>
                      <w:rFonts w:eastAsia="Yu Mincho"/>
                      <w:sz w:val="20"/>
                      <w:szCs w:val="20"/>
                    </w:rPr>
                  </w:pPr>
                  <w:r>
                    <w:rPr>
                      <w:rFonts w:eastAsia="Yu Mincho"/>
                      <w:sz w:val="20"/>
                      <w:szCs w:val="20"/>
                    </w:rPr>
                    <w:t>No</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w:t>
                  </w:r>
                </w:p>
              </w:tc>
              <w:tc>
                <w:tcPr>
                  <w:tcW w:w="4236" w:type="dxa"/>
                </w:tcPr>
                <w:p>
                  <w:pPr>
                    <w:overflowPunct w:val="0"/>
                    <w:autoSpaceDE w:val="0"/>
                    <w:autoSpaceDN w:val="0"/>
                    <w:adjustRightInd w:val="0"/>
                    <w:spacing w:after="180"/>
                    <w:textAlignment w:val="baseline"/>
                    <w:rPr>
                      <w:rFonts w:eastAsia="Yu Mincho"/>
                      <w:sz w:val="20"/>
                      <w:szCs w:val="20"/>
                    </w:rPr>
                  </w:pPr>
                  <w:r>
                    <w:rPr>
                      <w:rFonts w:eastAsia="PMingLiU"/>
                      <w:sz w:val="20"/>
                      <w:szCs w:val="20"/>
                      <w:lang w:eastAsia="zh-TW"/>
                    </w:rPr>
                    <w:t>Note: Reuse which band A-MPR, B254 A-MPR is not defined yet and the band [249] UL frequency range is not fully aligned with B254.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6.2.B.4:</w:t>
                  </w:r>
                </w:p>
                <w:p>
                  <w:pPr>
                    <w:overflowPunct w:val="0"/>
                    <w:autoSpaceDE w:val="0"/>
                    <w:autoSpaceDN w:val="0"/>
                    <w:adjustRightInd w:val="0"/>
                    <w:spacing w:after="180"/>
                    <w:textAlignment w:val="baseline"/>
                    <w:rPr>
                      <w:rFonts w:eastAsia="Yu Mincho"/>
                      <w:sz w:val="20"/>
                      <w:szCs w:val="20"/>
                    </w:rPr>
                  </w:pPr>
                  <w:r>
                    <w:rPr>
                      <w:rFonts w:eastAsia="Yu Mincho"/>
                      <w:sz w:val="20"/>
                      <w:szCs w:val="20"/>
                    </w:rPr>
                    <w:t xml:space="preserve">Configured transmit power  </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6.3: Output power dynamics</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trike/>
                      <w:sz w:val="20"/>
                      <w:szCs w:val="20"/>
                    </w:rPr>
                  </w:pPr>
                  <w:r>
                    <w:rPr>
                      <w:rFonts w:eastAsia="Yu Mincho"/>
                      <w:strike/>
                      <w:sz w:val="20"/>
                      <w:szCs w:val="20"/>
                    </w:rPr>
                    <w:t>Yes</w:t>
                  </w:r>
                </w:p>
                <w:p>
                  <w:pPr>
                    <w:overflowPunct w:val="0"/>
                    <w:autoSpaceDE w:val="0"/>
                    <w:autoSpaceDN w:val="0"/>
                    <w:adjustRightInd w:val="0"/>
                    <w:spacing w:after="180"/>
                    <w:textAlignment w:val="baseline"/>
                    <w:rPr>
                      <w:rFonts w:eastAsia="Yu Mincho"/>
                      <w:sz w:val="20"/>
                      <w:szCs w:val="20"/>
                    </w:rPr>
                  </w:pPr>
                  <w:r>
                    <w:rPr>
                      <w:rFonts w:eastAsia="PMingLiU"/>
                      <w:sz w:val="20"/>
                      <w:szCs w:val="20"/>
                      <w:lang w:eastAsia="zh-TW"/>
                    </w:rPr>
                    <w:t>FFS</w:t>
                  </w:r>
                </w:p>
              </w:tc>
              <w:tc>
                <w:tcPr>
                  <w:tcW w:w="4236" w:type="dxa"/>
                </w:tcPr>
                <w:p>
                  <w:pPr>
                    <w:overflowPunct w:val="0"/>
                    <w:autoSpaceDE w:val="0"/>
                    <w:autoSpaceDN w:val="0"/>
                    <w:adjustRightInd w:val="0"/>
                    <w:spacing w:after="180"/>
                    <w:textAlignment w:val="baseline"/>
                    <w:rPr>
                      <w:rFonts w:eastAsia="PMingLiU"/>
                      <w:sz w:val="20"/>
                      <w:szCs w:val="20"/>
                      <w:lang w:eastAsia="zh-TW"/>
                    </w:rPr>
                  </w:pPr>
                  <w:r>
                    <w:rPr>
                      <w:rFonts w:eastAsia="PMingLiU"/>
                      <w:sz w:val="20"/>
                      <w:szCs w:val="20"/>
                      <w:lang w:eastAsia="zh-TW"/>
                    </w:rPr>
                    <w:t>Note: For 36.102 6.3B.4,</w:t>
                  </w:r>
                  <w:r>
                    <w:rPr>
                      <w:rFonts w:hint="eastAsia" w:eastAsia="PMingLiU"/>
                      <w:sz w:val="20"/>
                      <w:szCs w:val="20"/>
                      <w:lang w:eastAsia="zh-TW"/>
                    </w:rPr>
                    <w:t xml:space="preserve"> </w:t>
                  </w:r>
                  <w:r>
                    <w:rPr>
                      <w:rFonts w:eastAsia="PMingLiU"/>
                      <w:sz w:val="20"/>
                      <w:szCs w:val="20"/>
                      <w:lang w:eastAsia="zh-TW"/>
                    </w:rPr>
                    <w:t>36.102 refers to 36.101 6.3.5F, the testing period for aggerate power control may depend on different UL pattern.</w:t>
                  </w:r>
                </w:p>
                <w:p>
                  <w:pPr>
                    <w:overflowPunct w:val="0"/>
                    <w:autoSpaceDE w:val="0"/>
                    <w:autoSpaceDN w:val="0"/>
                    <w:adjustRightInd w:val="0"/>
                    <w:spacing w:after="180"/>
                    <w:textAlignment w:val="baseline"/>
                    <w:rPr>
                      <w:rFonts w:eastAsia="Yu Mincho"/>
                      <w:sz w:val="20"/>
                      <w:szCs w:val="20"/>
                    </w:rPr>
                  </w:pPr>
                  <w:r>
                    <w:rPr>
                      <w:rFonts w:eastAsia="宋体"/>
                      <w:sz w:val="20"/>
                      <w:szCs w:val="20"/>
                    </w:rPr>
                    <w:drawing>
                      <wp:inline distT="0" distB="0" distL="114300" distR="114300">
                        <wp:extent cx="2691130" cy="112268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691130" cy="11226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6.4: Transmit signal quality</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6.5B.3.2</w:t>
                  </w:r>
                  <w:r>
                    <w:rPr>
                      <w:rFonts w:eastAsia="Yu Mincho"/>
                      <w:sz w:val="20"/>
                      <w:szCs w:val="20"/>
                    </w:rPr>
                    <w:t>: Spectrum emission mask</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6.5B.3.4</w:t>
                  </w:r>
                  <w:r>
                    <w:rPr>
                      <w:rFonts w:eastAsia="Yu Mincho"/>
                      <w:sz w:val="20"/>
                      <w:szCs w:val="20"/>
                    </w:rPr>
                    <w:t>:</w:t>
                  </w:r>
                </w:p>
                <w:p>
                  <w:pPr>
                    <w:overflowPunct w:val="0"/>
                    <w:autoSpaceDE w:val="0"/>
                    <w:autoSpaceDN w:val="0"/>
                    <w:adjustRightInd w:val="0"/>
                    <w:spacing w:after="180"/>
                    <w:textAlignment w:val="baseline"/>
                    <w:rPr>
                      <w:rFonts w:eastAsia="Yu Mincho"/>
                      <w:sz w:val="20"/>
                      <w:szCs w:val="20"/>
                    </w:rPr>
                  </w:pPr>
                  <w:r>
                    <w:rPr>
                      <w:rFonts w:eastAsia="Yu Mincho"/>
                      <w:sz w:val="20"/>
                      <w:szCs w:val="20"/>
                    </w:rPr>
                    <w:t>Adjacent Channel Leakage Ratio</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PMingLiU"/>
                      <w:sz w:val="20"/>
                      <w:szCs w:val="20"/>
                      <w:lang w:eastAsia="zh-TW"/>
                    </w:rPr>
                  </w:pPr>
                  <w:r>
                    <w:rPr>
                      <w:rFonts w:eastAsia="PMingLiU"/>
                      <w:sz w:val="20"/>
                      <w:szCs w:val="20"/>
                      <w:lang w:eastAsia="zh-TW"/>
                    </w:rPr>
                    <w:t>6.5B.4.2: General spurious emissions</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6.5B.4.3</w:t>
                  </w:r>
                  <w:r>
                    <w:rPr>
                      <w:rFonts w:eastAsia="Yu Mincho"/>
                      <w:sz w:val="20"/>
                      <w:szCs w:val="20"/>
                    </w:rPr>
                    <w:t>:</w:t>
                  </w:r>
                </w:p>
                <w:p>
                  <w:pPr>
                    <w:overflowPunct w:val="0"/>
                    <w:autoSpaceDE w:val="0"/>
                    <w:autoSpaceDN w:val="0"/>
                    <w:adjustRightInd w:val="0"/>
                    <w:spacing w:after="180"/>
                    <w:textAlignment w:val="baseline"/>
                    <w:rPr>
                      <w:rFonts w:eastAsia="Yu Mincho"/>
                      <w:sz w:val="20"/>
                      <w:szCs w:val="20"/>
                    </w:rPr>
                  </w:pPr>
                  <w:r>
                    <w:rPr>
                      <w:rFonts w:eastAsia="Yu Mincho"/>
                      <w:sz w:val="20"/>
                      <w:szCs w:val="20"/>
                    </w:rPr>
                    <w:t>Spurious emissions for UE co-existence</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No</w:t>
                  </w:r>
                </w:p>
              </w:tc>
              <w:tc>
                <w:tcPr>
                  <w:tcW w:w="1170" w:type="dxa"/>
                </w:tcPr>
                <w:p>
                  <w:pPr>
                    <w:overflowPunct w:val="0"/>
                    <w:autoSpaceDE w:val="0"/>
                    <w:autoSpaceDN w:val="0"/>
                    <w:adjustRightInd w:val="0"/>
                    <w:spacing w:after="180"/>
                    <w:textAlignment w:val="baseline"/>
                    <w:rPr>
                      <w:rFonts w:eastAsia="Yu Mincho"/>
                      <w:sz w:val="20"/>
                      <w:szCs w:val="20"/>
                    </w:rPr>
                  </w:pPr>
                </w:p>
              </w:tc>
              <w:tc>
                <w:tcPr>
                  <w:tcW w:w="4236"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 xml:space="preserve">Band </w:t>
                  </w:r>
                  <w:r>
                    <w:rPr>
                      <w:rFonts w:eastAsia="Malgun Gothic"/>
                      <w:sz w:val="20"/>
                      <w:szCs w:val="20"/>
                      <w:lang w:eastAsia="ko-KR"/>
                    </w:rPr>
                    <w:t>[249]</w:t>
                  </w:r>
                  <w:r>
                    <w:rPr>
                      <w:rFonts w:eastAsia="Times New Roman"/>
                      <w:sz w:val="20"/>
                      <w:szCs w:val="20"/>
                      <w:lang w:eastAsia="fi-FI"/>
                    </w:rPr>
                    <w:t xml:space="preserve"> need</w:t>
                  </w:r>
                  <w:r>
                    <w:rPr>
                      <w:rFonts w:eastAsia="Yu Mincho"/>
                      <w:sz w:val="20"/>
                      <w:szCs w:val="20"/>
                    </w:rPr>
                    <w:t>s</w:t>
                  </w:r>
                  <w:r>
                    <w:rPr>
                      <w:rFonts w:eastAsia="Times New Roman"/>
                      <w:sz w:val="20"/>
                      <w:szCs w:val="20"/>
                      <w:lang w:eastAsia="fi-FI"/>
                    </w:rPr>
                    <w:t xml:space="preserve"> to be </w:t>
                  </w:r>
                  <w:r>
                    <w:rPr>
                      <w:rFonts w:eastAsia="Yu Mincho"/>
                      <w:sz w:val="20"/>
                      <w:szCs w:val="20"/>
                    </w:rPr>
                    <w:t>add</w:t>
                  </w:r>
                  <w:r>
                    <w:rPr>
                      <w:rFonts w:eastAsia="Times New Roman"/>
                      <w:sz w:val="20"/>
                      <w:szCs w:val="20"/>
                      <w:lang w:eastAsia="fi-FI"/>
                    </w:rPr>
                    <w:t>ed</w:t>
                  </w:r>
                  <w:r>
                    <w:rPr>
                      <w:rFonts w:eastAsia="Yu Mincho"/>
                      <w:sz w:val="20"/>
                      <w:szCs w:val="20"/>
                    </w:rPr>
                    <w:t xml:space="preserve"> in Table 6.5A.4.3-1 Spurious emission band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6.5B.4.4</w:t>
                  </w:r>
                  <w:r>
                    <w:rPr>
                      <w:rFonts w:eastAsia="Yu Mincho"/>
                      <w:sz w:val="20"/>
                      <w:szCs w:val="20"/>
                    </w:rPr>
                    <w:t>:</w:t>
                  </w:r>
                </w:p>
                <w:p>
                  <w:pPr>
                    <w:overflowPunct w:val="0"/>
                    <w:autoSpaceDE w:val="0"/>
                    <w:autoSpaceDN w:val="0"/>
                    <w:adjustRightInd w:val="0"/>
                    <w:spacing w:after="180"/>
                    <w:textAlignment w:val="baseline"/>
                    <w:rPr>
                      <w:rFonts w:eastAsia="Yu Mincho"/>
                      <w:sz w:val="20"/>
                      <w:szCs w:val="20"/>
                    </w:rPr>
                  </w:pPr>
                  <w:r>
                    <w:rPr>
                      <w:rFonts w:eastAsia="Yu Mincho"/>
                      <w:sz w:val="20"/>
                      <w:szCs w:val="20"/>
                    </w:rPr>
                    <w:t>Additional spurious emissions</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No</w:t>
                  </w:r>
                </w:p>
              </w:tc>
              <w:tc>
                <w:tcPr>
                  <w:tcW w:w="1170" w:type="dxa"/>
                </w:tcPr>
                <w:p>
                  <w:pPr>
                    <w:overflowPunct w:val="0"/>
                    <w:autoSpaceDE w:val="0"/>
                    <w:autoSpaceDN w:val="0"/>
                    <w:adjustRightInd w:val="0"/>
                    <w:spacing w:after="180"/>
                    <w:textAlignment w:val="baseline"/>
                    <w:rPr>
                      <w:rFonts w:eastAsia="Yu Mincho"/>
                      <w:sz w:val="20"/>
                      <w:szCs w:val="20"/>
                    </w:rPr>
                  </w:pPr>
                </w:p>
              </w:tc>
              <w:tc>
                <w:tcPr>
                  <w:tcW w:w="4236"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 xml:space="preserve">Additional spurious emissions requirement for B254 can be reused for the new IoT-NTN TDD L-band. UL frequency range of B254 is superset of </w:t>
                  </w:r>
                  <w:r>
                    <w:rPr>
                      <w:rFonts w:eastAsia="Malgun Gothic"/>
                      <w:sz w:val="20"/>
                      <w:szCs w:val="20"/>
                      <w:lang w:eastAsia="ko-KR"/>
                    </w:rPr>
                    <w:t>[B249]</w:t>
                  </w:r>
                  <w:r>
                    <w:rPr>
                      <w:rFonts w:eastAsia="Yu Mincho"/>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6.6: Transmit intermodulation for category NB1 and NB2</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keepNext/>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7.2: Diversity characteristics</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7.3: Reference sensitivity power level</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No</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No</w:t>
                  </w:r>
                </w:p>
              </w:tc>
              <w:tc>
                <w:tcPr>
                  <w:tcW w:w="4236" w:type="dxa"/>
                </w:tcPr>
                <w:p>
                  <w:pPr>
                    <w:overflowPunct w:val="0"/>
                    <w:autoSpaceDE w:val="0"/>
                    <w:autoSpaceDN w:val="0"/>
                    <w:adjustRightInd w:val="0"/>
                    <w:spacing w:after="180"/>
                    <w:textAlignment w:val="baseline"/>
                    <w:rPr>
                      <w:rFonts w:eastAsia="Yu Mincho"/>
                      <w:sz w:val="20"/>
                      <w:szCs w:val="20"/>
                      <w:highlight w:val="yellow"/>
                    </w:rPr>
                  </w:pPr>
                  <w:r>
                    <w:rPr>
                      <w:rFonts w:eastAsia="Yu Mincho"/>
                      <w:sz w:val="20"/>
                      <w:szCs w:val="20"/>
                    </w:rPr>
                    <w:t>To be studied for IoT-NTN TDD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Yu Mincho"/>
                      <w:sz w:val="20"/>
                      <w:szCs w:val="20"/>
                    </w:rPr>
                    <w:t>7.4: Maximum input level</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7.5: Adjacent Channel Selectivity</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7.6B.2</w:t>
                  </w:r>
                  <w:r>
                    <w:rPr>
                      <w:rFonts w:eastAsia="Yu Mincho"/>
                      <w:sz w:val="20"/>
                      <w:szCs w:val="20"/>
                    </w:rPr>
                    <w:t>:</w:t>
                  </w:r>
                </w:p>
                <w:p>
                  <w:pPr>
                    <w:overflowPunct w:val="0"/>
                    <w:autoSpaceDE w:val="0"/>
                    <w:autoSpaceDN w:val="0"/>
                    <w:adjustRightInd w:val="0"/>
                    <w:spacing w:after="180"/>
                    <w:textAlignment w:val="baseline"/>
                    <w:rPr>
                      <w:rFonts w:eastAsia="Yu Mincho"/>
                      <w:sz w:val="20"/>
                      <w:szCs w:val="20"/>
                    </w:rPr>
                  </w:pPr>
                  <w:r>
                    <w:rPr>
                      <w:rFonts w:eastAsia="Yu Mincho"/>
                      <w:sz w:val="20"/>
                      <w:szCs w:val="20"/>
                    </w:rPr>
                    <w:t>In-band blocking</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No</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r>
                    <w:rPr>
                      <w:rFonts w:eastAsia="PMingLiU"/>
                      <w:sz w:val="20"/>
                      <w:szCs w:val="20"/>
                      <w:lang w:eastAsia="zh-TW"/>
                    </w:rPr>
                    <w:t xml:space="preserve">Different band group may have different In-band blocking tables for </w:t>
                  </w:r>
                  <w:r>
                    <w:rPr>
                      <w:rFonts w:eastAsia="Yu Mincho"/>
                      <w:sz w:val="20"/>
                      <w:szCs w:val="20"/>
                      <w:lang w:eastAsia="zh-TW"/>
                    </w:rPr>
                    <w:t xml:space="preserve">Cat-M1 and NB1/NB2 separately. Currently, bands 255,254, and 253 apply the same IBB requirements. Only for B256 lower frequency range is modified to accommodate specific implementation. </w:t>
                  </w:r>
                  <w:r>
                    <w:rPr>
                      <w:rFonts w:eastAsia="Malgun Gothic"/>
                      <w:sz w:val="20"/>
                      <w:szCs w:val="20"/>
                      <w:lang w:eastAsia="ko-KR"/>
                    </w:rPr>
                    <w:t xml:space="preserve">[B249] </w:t>
                  </w:r>
                  <w:r>
                    <w:rPr>
                      <w:rFonts w:eastAsia="Yu Mincho"/>
                      <w:sz w:val="20"/>
                      <w:szCs w:val="20"/>
                      <w:lang w:eastAsia="zh-TW"/>
                    </w:rPr>
                    <w:t>can re-use IBB requirements from B255,254 and 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7.6B.3</w:t>
                  </w:r>
                  <w:r>
                    <w:rPr>
                      <w:rFonts w:eastAsia="Yu Mincho"/>
                      <w:sz w:val="20"/>
                      <w:szCs w:val="20"/>
                    </w:rPr>
                    <w:t>:</w:t>
                  </w:r>
                </w:p>
                <w:p>
                  <w:pPr>
                    <w:overflowPunct w:val="0"/>
                    <w:autoSpaceDE w:val="0"/>
                    <w:autoSpaceDN w:val="0"/>
                    <w:adjustRightInd w:val="0"/>
                    <w:spacing w:after="180"/>
                    <w:textAlignment w:val="baseline"/>
                    <w:rPr>
                      <w:rFonts w:eastAsia="Yu Mincho"/>
                      <w:sz w:val="20"/>
                      <w:szCs w:val="20"/>
                    </w:rPr>
                  </w:pPr>
                  <w:r>
                    <w:rPr>
                      <w:rFonts w:eastAsia="Yu Mincho"/>
                      <w:sz w:val="20"/>
                      <w:szCs w:val="20"/>
                    </w:rPr>
                    <w:t>Out-of-band blocking</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No</w:t>
                  </w:r>
                </w:p>
              </w:tc>
              <w:tc>
                <w:tcPr>
                  <w:tcW w:w="1170" w:type="dxa"/>
                </w:tcPr>
                <w:p>
                  <w:pPr>
                    <w:overflowPunct w:val="0"/>
                    <w:autoSpaceDE w:val="0"/>
                    <w:autoSpaceDN w:val="0"/>
                    <w:adjustRightInd w:val="0"/>
                    <w:spacing w:after="180"/>
                    <w:textAlignment w:val="baseline"/>
                    <w:rPr>
                      <w:rFonts w:eastAsia="Yu Mincho"/>
                      <w:sz w:val="20"/>
                      <w:szCs w:val="20"/>
                    </w:rPr>
                  </w:pPr>
                </w:p>
              </w:tc>
              <w:tc>
                <w:tcPr>
                  <w:tcW w:w="4236" w:type="dxa"/>
                </w:tcPr>
                <w:p>
                  <w:pPr>
                    <w:overflowPunct w:val="0"/>
                    <w:autoSpaceDE w:val="0"/>
                    <w:autoSpaceDN w:val="0"/>
                    <w:adjustRightInd w:val="0"/>
                    <w:spacing w:after="180" w:line="252" w:lineRule="auto"/>
                    <w:textAlignment w:val="baseline"/>
                    <w:rPr>
                      <w:rFonts w:eastAsia="宋体"/>
                      <w:sz w:val="20"/>
                      <w:szCs w:val="20"/>
                    </w:rPr>
                  </w:pPr>
                  <w:r>
                    <w:rPr>
                      <w:rFonts w:eastAsia="Yu Mincho"/>
                      <w:sz w:val="20"/>
                      <w:szCs w:val="20"/>
                    </w:rPr>
                    <w:t xml:space="preserve">Different Out-of-band requirements for IoT NTN bands. </w:t>
                  </w:r>
                  <w:r>
                    <w:rPr>
                      <w:rFonts w:eastAsia="Yu Mincho"/>
                      <w:sz w:val="20"/>
                      <w:szCs w:val="20"/>
                      <w:lang w:eastAsia="zh-TW"/>
                    </w:rPr>
                    <w:t xml:space="preserve">Currently, bands 255,254, and 253 apply the same OBB requirements. Only for B256 lower frequency range is modified to accommodate specific implementation. </w:t>
                  </w:r>
                  <w:r>
                    <w:rPr>
                      <w:rFonts w:eastAsia="Malgun Gothic"/>
                      <w:sz w:val="20"/>
                      <w:szCs w:val="20"/>
                      <w:lang w:eastAsia="ko-KR"/>
                    </w:rPr>
                    <w:t xml:space="preserve">[B249] </w:t>
                  </w:r>
                  <w:r>
                    <w:rPr>
                      <w:rFonts w:eastAsia="Yu Mincho"/>
                      <w:sz w:val="20"/>
                      <w:szCs w:val="20"/>
                      <w:lang w:eastAsia="zh-TW"/>
                    </w:rPr>
                    <w:t>can re-use OBB requirements from B255, 254 and 253</w:t>
                  </w:r>
                  <w:r>
                    <w:rPr>
                      <w:rFonts w:eastAsia="Yu Mincho"/>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line="252" w:lineRule="auto"/>
                    <w:textAlignment w:val="baseline"/>
                    <w:rPr>
                      <w:rFonts w:eastAsia="PMingLiU"/>
                      <w:sz w:val="20"/>
                      <w:szCs w:val="20"/>
                      <w:lang w:eastAsia="zh-TW"/>
                    </w:rPr>
                  </w:pPr>
                  <w:r>
                    <w:rPr>
                      <w:rFonts w:eastAsia="PMingLiU"/>
                      <w:sz w:val="20"/>
                      <w:szCs w:val="20"/>
                      <w:lang w:eastAsia="zh-TW"/>
                    </w:rPr>
                    <w:t>7.6B.4</w:t>
                  </w:r>
                  <w:r>
                    <w:rPr>
                      <w:rFonts w:eastAsia="Yu Mincho"/>
                      <w:sz w:val="20"/>
                      <w:szCs w:val="20"/>
                    </w:rPr>
                    <w:t>:</w:t>
                  </w:r>
                </w:p>
                <w:p>
                  <w:pPr>
                    <w:overflowPunct w:val="0"/>
                    <w:autoSpaceDE w:val="0"/>
                    <w:autoSpaceDN w:val="0"/>
                    <w:adjustRightInd w:val="0"/>
                    <w:spacing w:after="180" w:line="252" w:lineRule="auto"/>
                    <w:textAlignment w:val="baseline"/>
                    <w:rPr>
                      <w:rFonts w:eastAsia="宋体"/>
                      <w:sz w:val="20"/>
                      <w:szCs w:val="20"/>
                    </w:rPr>
                  </w:pPr>
                  <w:r>
                    <w:rPr>
                      <w:rFonts w:eastAsia="PMingLiU"/>
                      <w:sz w:val="20"/>
                      <w:szCs w:val="20"/>
                      <w:lang w:eastAsia="zh-TW"/>
                    </w:rPr>
                    <w:t>Narrow band blocking</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No</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PMingLiU"/>
                      <w:sz w:val="20"/>
                      <w:szCs w:val="20"/>
                      <w:lang w:eastAsia="zh-TW"/>
                    </w:rPr>
                    <w:t>7.7</w:t>
                  </w:r>
                  <w:r>
                    <w:rPr>
                      <w:rFonts w:eastAsia="Yu Mincho"/>
                      <w:sz w:val="20"/>
                      <w:szCs w:val="20"/>
                    </w:rPr>
                    <w:t>:</w:t>
                  </w:r>
                  <w:r>
                    <w:rPr>
                      <w:rFonts w:eastAsia="PMingLiU"/>
                      <w:sz w:val="20"/>
                      <w:szCs w:val="20"/>
                      <w:lang w:eastAsia="zh-TW"/>
                    </w:rPr>
                    <w:t xml:space="preserve"> Spurious response</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PMingLiU"/>
                      <w:sz w:val="20"/>
                      <w:szCs w:val="20"/>
                      <w:lang w:eastAsia="zh-TW"/>
                    </w:rPr>
                    <w:t>7.8</w:t>
                  </w:r>
                  <w:r>
                    <w:rPr>
                      <w:rFonts w:eastAsia="Yu Mincho"/>
                      <w:sz w:val="20"/>
                      <w:szCs w:val="20"/>
                    </w:rPr>
                    <w:t>:</w:t>
                  </w:r>
                  <w:r>
                    <w:rPr>
                      <w:rFonts w:eastAsia="PMingLiU"/>
                      <w:sz w:val="20"/>
                      <w:szCs w:val="20"/>
                      <w:lang w:eastAsia="zh-TW"/>
                    </w:rPr>
                    <w:t xml:space="preserve"> Intermodulation characteristics</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tcPr>
                <w:p>
                  <w:pPr>
                    <w:overflowPunct w:val="0"/>
                    <w:autoSpaceDE w:val="0"/>
                    <w:autoSpaceDN w:val="0"/>
                    <w:adjustRightInd w:val="0"/>
                    <w:spacing w:after="180"/>
                    <w:textAlignment w:val="baseline"/>
                    <w:rPr>
                      <w:rFonts w:eastAsia="Yu Mincho"/>
                      <w:sz w:val="20"/>
                      <w:szCs w:val="20"/>
                    </w:rPr>
                  </w:pPr>
                  <w:r>
                    <w:rPr>
                      <w:rFonts w:eastAsia="PMingLiU"/>
                      <w:sz w:val="20"/>
                      <w:szCs w:val="20"/>
                      <w:lang w:eastAsia="zh-TW"/>
                    </w:rPr>
                    <w:t>7.9</w:t>
                  </w:r>
                  <w:r>
                    <w:rPr>
                      <w:rFonts w:eastAsia="Yu Mincho"/>
                      <w:sz w:val="20"/>
                      <w:szCs w:val="20"/>
                    </w:rPr>
                    <w:t>:</w:t>
                  </w:r>
                  <w:r>
                    <w:rPr>
                      <w:rFonts w:eastAsia="PMingLiU"/>
                      <w:sz w:val="20"/>
                      <w:szCs w:val="20"/>
                      <w:lang w:eastAsia="zh-TW"/>
                    </w:rPr>
                    <w:t xml:space="preserve"> RX spurious emission</w:t>
                  </w:r>
                </w:p>
              </w:tc>
              <w:tc>
                <w:tcPr>
                  <w:tcW w:w="126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No</w:t>
                  </w:r>
                </w:p>
              </w:tc>
              <w:tc>
                <w:tcPr>
                  <w:tcW w:w="1170"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Yes</w:t>
                  </w:r>
                </w:p>
              </w:tc>
              <w:tc>
                <w:tcPr>
                  <w:tcW w:w="4236" w:type="dxa"/>
                </w:tcPr>
                <w:p>
                  <w:pPr>
                    <w:overflowPunct w:val="0"/>
                    <w:autoSpaceDE w:val="0"/>
                    <w:autoSpaceDN w:val="0"/>
                    <w:adjustRightInd w:val="0"/>
                    <w:spacing w:after="180"/>
                    <w:textAlignment w:val="baseline"/>
                    <w:rPr>
                      <w:rFonts w:eastAsia="Yu Mincho"/>
                      <w:sz w:val="20"/>
                      <w:szCs w:val="20"/>
                    </w:rPr>
                  </w:pPr>
                  <w:r>
                    <w:rPr>
                      <w:rFonts w:eastAsia="Yu Mincho"/>
                      <w:sz w:val="20"/>
                      <w:szCs w:val="20"/>
                    </w:rPr>
                    <w:t>Re-use spurious emission requirements from Table 7.9.1-1 of 36.101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vAlign w:val="center"/>
                </w:tcPr>
                <w:p>
                  <w:pPr>
                    <w:overflowPunct w:val="0"/>
                    <w:autoSpaceDE w:val="0"/>
                    <w:autoSpaceDN w:val="0"/>
                    <w:adjustRightInd w:val="0"/>
                    <w:spacing w:after="180"/>
                    <w:textAlignment w:val="baseline"/>
                    <w:rPr>
                      <w:rFonts w:eastAsia="PMingLiU"/>
                      <w:sz w:val="20"/>
                      <w:szCs w:val="20"/>
                      <w:lang w:eastAsia="zh-TW"/>
                    </w:rPr>
                  </w:pPr>
                  <w:r>
                    <w:rPr>
                      <w:rFonts w:eastAsia="Times New Roman"/>
                      <w:sz w:val="20"/>
                      <w:szCs w:val="20"/>
                      <w:lang w:val="fi-FI" w:eastAsia="fi-FI"/>
                    </w:rPr>
                    <w:t>A.1</w:t>
                  </w:r>
                  <w:r>
                    <w:rPr>
                      <w:rFonts w:eastAsia="Times New Roman"/>
                      <w:sz w:val="20"/>
                      <w:szCs w:val="20"/>
                      <w:lang w:val="fi-FI" w:eastAsia="fi-FI"/>
                    </w:rPr>
                    <w:tab/>
                  </w:r>
                  <w:r>
                    <w:rPr>
                      <w:rFonts w:eastAsia="Times New Roman"/>
                      <w:sz w:val="20"/>
                      <w:szCs w:val="20"/>
                      <w:lang w:val="fi-FI" w:eastAsia="fi-FI"/>
                    </w:rPr>
                    <w:t>DL reference measurement channels</w:t>
                  </w:r>
                </w:p>
              </w:tc>
              <w:tc>
                <w:tcPr>
                  <w:tcW w:w="1260" w:type="dxa"/>
                </w:tcPr>
                <w:p>
                  <w:pPr>
                    <w:overflowPunct w:val="0"/>
                    <w:autoSpaceDE w:val="0"/>
                    <w:autoSpaceDN w:val="0"/>
                    <w:adjustRightInd w:val="0"/>
                    <w:spacing w:after="180"/>
                    <w:textAlignment w:val="baseline"/>
                    <w:rPr>
                      <w:rFonts w:eastAsia="Yu Mincho"/>
                      <w:sz w:val="20"/>
                      <w:szCs w:val="20"/>
                    </w:rPr>
                  </w:pPr>
                </w:p>
              </w:tc>
              <w:tc>
                <w:tcPr>
                  <w:tcW w:w="1170" w:type="dxa"/>
                </w:tcPr>
                <w:p>
                  <w:pPr>
                    <w:overflowPunct w:val="0"/>
                    <w:autoSpaceDE w:val="0"/>
                    <w:autoSpaceDN w:val="0"/>
                    <w:adjustRightInd w:val="0"/>
                    <w:spacing w:after="180"/>
                    <w:textAlignment w:val="baseline"/>
                    <w:rPr>
                      <w:rFonts w:eastAsia="Yu Mincho"/>
                      <w:sz w:val="20"/>
                      <w:szCs w:val="20"/>
                    </w:rPr>
                  </w:pPr>
                </w:p>
              </w:tc>
              <w:tc>
                <w:tcPr>
                  <w:tcW w:w="4236" w:type="dxa"/>
                  <w:vAlign w:val="center"/>
                </w:tcPr>
                <w:p>
                  <w:pPr>
                    <w:overflowPunct w:val="0"/>
                    <w:autoSpaceDE w:val="0"/>
                    <w:autoSpaceDN w:val="0"/>
                    <w:adjustRightInd w:val="0"/>
                    <w:spacing w:after="0"/>
                    <w:textAlignment w:val="baseline"/>
                    <w:rPr>
                      <w:rFonts w:eastAsia="Yu Mincho"/>
                      <w:sz w:val="20"/>
                      <w:szCs w:val="20"/>
                      <w:lang w:val="en-US" w:eastAsia="zh-CN"/>
                    </w:rPr>
                  </w:pPr>
                  <w:r>
                    <w:rPr>
                      <w:rFonts w:eastAsia="Yu Mincho"/>
                      <w:sz w:val="20"/>
                      <w:szCs w:val="20"/>
                      <w:lang w:val="en-US" w:eastAsia="zh-CN"/>
                    </w:rPr>
                    <w:t>NPDSCH Reference Channel for TDD should be introduced.</w:t>
                  </w:r>
                </w:p>
                <w:p>
                  <w:pPr>
                    <w:overflowPunct w:val="0"/>
                    <w:autoSpaceDE w:val="0"/>
                    <w:autoSpaceDN w:val="0"/>
                    <w:adjustRightInd w:val="0"/>
                    <w:spacing w:after="180"/>
                    <w:textAlignment w:val="baseline"/>
                    <w:rPr>
                      <w:rFonts w:eastAsia="Yu Mincho"/>
                      <w:sz w:val="20"/>
                      <w:szCs w:val="20"/>
                    </w:rPr>
                  </w:pPr>
                  <w:r>
                    <w:rPr>
                      <w:rFonts w:eastAsia="Yu Mincho"/>
                      <w:sz w:val="20"/>
                      <w:szCs w:val="20"/>
                      <w:lang w:val="en-US" w:eastAsia="zh-CN"/>
                    </w:rPr>
                    <w:t>Fixed Reference Channel for TDD should be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vAlign w:val="center"/>
                </w:tcPr>
                <w:p>
                  <w:pPr>
                    <w:overflowPunct w:val="0"/>
                    <w:autoSpaceDE w:val="0"/>
                    <w:autoSpaceDN w:val="0"/>
                    <w:adjustRightInd w:val="0"/>
                    <w:spacing w:after="180"/>
                    <w:textAlignment w:val="baseline"/>
                    <w:rPr>
                      <w:rFonts w:eastAsia="PMingLiU"/>
                      <w:sz w:val="20"/>
                      <w:szCs w:val="20"/>
                      <w:lang w:eastAsia="zh-TW"/>
                    </w:rPr>
                  </w:pPr>
                  <w:r>
                    <w:rPr>
                      <w:rFonts w:eastAsia="Times New Roman"/>
                      <w:sz w:val="20"/>
                      <w:szCs w:val="20"/>
                      <w:lang w:val="fi-FI" w:eastAsia="fi-FI"/>
                    </w:rPr>
                    <w:t>A.2</w:t>
                  </w:r>
                  <w:r>
                    <w:rPr>
                      <w:rFonts w:eastAsia="Times New Roman"/>
                      <w:sz w:val="20"/>
                      <w:szCs w:val="20"/>
                      <w:lang w:val="fi-FI" w:eastAsia="fi-FI"/>
                    </w:rPr>
                    <w:tab/>
                  </w:r>
                  <w:r>
                    <w:rPr>
                      <w:rFonts w:eastAsia="Times New Roman"/>
                      <w:sz w:val="20"/>
                      <w:szCs w:val="20"/>
                      <w:lang w:val="fi-FI" w:eastAsia="fi-FI"/>
                    </w:rPr>
                    <w:t>OFDMA Channel Noise Generator (OCNG)</w:t>
                  </w:r>
                </w:p>
              </w:tc>
              <w:tc>
                <w:tcPr>
                  <w:tcW w:w="1260" w:type="dxa"/>
                </w:tcPr>
                <w:p>
                  <w:pPr>
                    <w:overflowPunct w:val="0"/>
                    <w:autoSpaceDE w:val="0"/>
                    <w:autoSpaceDN w:val="0"/>
                    <w:adjustRightInd w:val="0"/>
                    <w:spacing w:after="180"/>
                    <w:textAlignment w:val="baseline"/>
                    <w:rPr>
                      <w:rFonts w:eastAsia="Yu Mincho"/>
                      <w:sz w:val="20"/>
                      <w:szCs w:val="20"/>
                    </w:rPr>
                  </w:pPr>
                </w:p>
              </w:tc>
              <w:tc>
                <w:tcPr>
                  <w:tcW w:w="1170" w:type="dxa"/>
                </w:tcPr>
                <w:p>
                  <w:pPr>
                    <w:overflowPunct w:val="0"/>
                    <w:autoSpaceDE w:val="0"/>
                    <w:autoSpaceDN w:val="0"/>
                    <w:adjustRightInd w:val="0"/>
                    <w:spacing w:after="180"/>
                    <w:textAlignment w:val="baseline"/>
                    <w:rPr>
                      <w:rFonts w:eastAsia="Yu Mincho"/>
                      <w:sz w:val="20"/>
                      <w:szCs w:val="20"/>
                    </w:rPr>
                  </w:pPr>
                </w:p>
              </w:tc>
              <w:tc>
                <w:tcPr>
                  <w:tcW w:w="4236" w:type="dxa"/>
                  <w:vAlign w:val="center"/>
                </w:tcPr>
                <w:p>
                  <w:pPr>
                    <w:overflowPunct w:val="0"/>
                    <w:autoSpaceDE w:val="0"/>
                    <w:autoSpaceDN w:val="0"/>
                    <w:adjustRightInd w:val="0"/>
                    <w:spacing w:after="180"/>
                    <w:textAlignment w:val="baseline"/>
                    <w:rPr>
                      <w:rFonts w:eastAsia="Yu Mincho"/>
                      <w:sz w:val="20"/>
                      <w:szCs w:val="20"/>
                    </w:rPr>
                  </w:pPr>
                  <w:r>
                    <w:rPr>
                      <w:rFonts w:eastAsia="Yu Mincho"/>
                      <w:sz w:val="20"/>
                      <w:szCs w:val="20"/>
                      <w:lang w:val="en-US" w:eastAsia="zh-CN"/>
                    </w:rPr>
                    <w:t>OCNG Patterns for TDD should be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vAlign w:val="center"/>
                </w:tcPr>
                <w:p>
                  <w:pPr>
                    <w:overflowPunct w:val="0"/>
                    <w:autoSpaceDE w:val="0"/>
                    <w:autoSpaceDN w:val="0"/>
                    <w:adjustRightInd w:val="0"/>
                    <w:spacing w:after="180"/>
                    <w:textAlignment w:val="baseline"/>
                    <w:rPr>
                      <w:rFonts w:eastAsia="PMingLiU"/>
                      <w:sz w:val="20"/>
                      <w:szCs w:val="20"/>
                      <w:lang w:eastAsia="zh-TW"/>
                    </w:rPr>
                  </w:pPr>
                  <w:r>
                    <w:rPr>
                      <w:rFonts w:eastAsia="Times New Roman"/>
                      <w:sz w:val="20"/>
                      <w:szCs w:val="20"/>
                      <w:lang w:val="fi-FI" w:eastAsia="fi-FI"/>
                    </w:rPr>
                    <w:t>A.3</w:t>
                  </w:r>
                  <w:r>
                    <w:rPr>
                      <w:rFonts w:eastAsia="Times New Roman"/>
                      <w:sz w:val="20"/>
                      <w:szCs w:val="20"/>
                      <w:lang w:val="fi-FI" w:eastAsia="fi-FI"/>
                    </w:rPr>
                    <w:tab/>
                  </w:r>
                  <w:r>
                    <w:rPr>
                      <w:rFonts w:eastAsia="Times New Roman"/>
                      <w:sz w:val="20"/>
                      <w:szCs w:val="20"/>
                      <w:lang w:val="fi-FI" w:eastAsia="fi-FI"/>
                    </w:rPr>
                    <w:t>Testing related to Satellite Access</w:t>
                  </w:r>
                </w:p>
              </w:tc>
              <w:tc>
                <w:tcPr>
                  <w:tcW w:w="1260" w:type="dxa"/>
                </w:tcPr>
                <w:p>
                  <w:pPr>
                    <w:overflowPunct w:val="0"/>
                    <w:autoSpaceDE w:val="0"/>
                    <w:autoSpaceDN w:val="0"/>
                    <w:adjustRightInd w:val="0"/>
                    <w:spacing w:after="180"/>
                    <w:textAlignment w:val="baseline"/>
                    <w:rPr>
                      <w:rFonts w:eastAsia="Yu Mincho"/>
                      <w:sz w:val="20"/>
                      <w:szCs w:val="20"/>
                    </w:rPr>
                  </w:pPr>
                </w:p>
              </w:tc>
              <w:tc>
                <w:tcPr>
                  <w:tcW w:w="1170" w:type="dxa"/>
                </w:tcPr>
                <w:p>
                  <w:pPr>
                    <w:overflowPunct w:val="0"/>
                    <w:autoSpaceDE w:val="0"/>
                    <w:autoSpaceDN w:val="0"/>
                    <w:adjustRightInd w:val="0"/>
                    <w:spacing w:after="180"/>
                    <w:textAlignment w:val="baseline"/>
                    <w:rPr>
                      <w:rFonts w:eastAsia="Yu Mincho"/>
                      <w:sz w:val="20"/>
                      <w:szCs w:val="20"/>
                    </w:rPr>
                  </w:pPr>
                </w:p>
              </w:tc>
              <w:tc>
                <w:tcPr>
                  <w:tcW w:w="4236" w:type="dxa"/>
                  <w:vAlign w:val="center"/>
                </w:tcPr>
                <w:p>
                  <w:pPr>
                    <w:overflowPunct w:val="0"/>
                    <w:autoSpaceDE w:val="0"/>
                    <w:autoSpaceDN w:val="0"/>
                    <w:adjustRightInd w:val="0"/>
                    <w:spacing w:after="180"/>
                    <w:textAlignment w:val="baseline"/>
                    <w:rPr>
                      <w:rFonts w:eastAsia="Yu Mincho"/>
                      <w:sz w:val="20"/>
                      <w:szCs w:val="20"/>
                    </w:rPr>
                  </w:pPr>
                  <w:r>
                    <w:rPr>
                      <w:rFonts w:eastAsia="Yu Mincho"/>
                      <w:sz w:val="20"/>
                      <w:szCs w:val="20"/>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5" w:type="dxa"/>
                  <w:vAlign w:val="center"/>
                </w:tcPr>
                <w:p>
                  <w:pPr>
                    <w:overflowPunct w:val="0"/>
                    <w:autoSpaceDE w:val="0"/>
                    <w:autoSpaceDN w:val="0"/>
                    <w:adjustRightInd w:val="0"/>
                    <w:spacing w:after="180"/>
                    <w:textAlignment w:val="baseline"/>
                    <w:rPr>
                      <w:rFonts w:eastAsia="PMingLiU"/>
                      <w:sz w:val="20"/>
                      <w:szCs w:val="20"/>
                      <w:lang w:eastAsia="zh-TW"/>
                    </w:rPr>
                  </w:pPr>
                  <w:r>
                    <w:rPr>
                      <w:rFonts w:eastAsia="Times New Roman"/>
                      <w:sz w:val="20"/>
                      <w:szCs w:val="20"/>
                      <w:lang w:val="fi-FI" w:eastAsia="fi-FI"/>
                    </w:rPr>
                    <w:t>A.4</w:t>
                  </w:r>
                  <w:r>
                    <w:rPr>
                      <w:rFonts w:eastAsia="Times New Roman"/>
                      <w:sz w:val="20"/>
                      <w:szCs w:val="20"/>
                      <w:lang w:val="fi-FI" w:eastAsia="fi-FI"/>
                    </w:rPr>
                    <w:tab/>
                  </w:r>
                  <w:r>
                    <w:rPr>
                      <w:rFonts w:eastAsia="Times New Roman"/>
                      <w:sz w:val="20"/>
                      <w:szCs w:val="20"/>
                      <w:lang w:val="fi-FI" w:eastAsia="fi-FI"/>
                    </w:rPr>
                    <w:t>UL reference measurement channels</w:t>
                  </w:r>
                </w:p>
              </w:tc>
              <w:tc>
                <w:tcPr>
                  <w:tcW w:w="1260" w:type="dxa"/>
                </w:tcPr>
                <w:p>
                  <w:pPr>
                    <w:overflowPunct w:val="0"/>
                    <w:autoSpaceDE w:val="0"/>
                    <w:autoSpaceDN w:val="0"/>
                    <w:adjustRightInd w:val="0"/>
                    <w:spacing w:after="180"/>
                    <w:textAlignment w:val="baseline"/>
                    <w:rPr>
                      <w:rFonts w:eastAsia="Yu Mincho"/>
                      <w:sz w:val="20"/>
                      <w:szCs w:val="20"/>
                    </w:rPr>
                  </w:pPr>
                </w:p>
              </w:tc>
              <w:tc>
                <w:tcPr>
                  <w:tcW w:w="1170" w:type="dxa"/>
                </w:tcPr>
                <w:p>
                  <w:pPr>
                    <w:overflowPunct w:val="0"/>
                    <w:autoSpaceDE w:val="0"/>
                    <w:autoSpaceDN w:val="0"/>
                    <w:adjustRightInd w:val="0"/>
                    <w:spacing w:after="180"/>
                    <w:textAlignment w:val="baseline"/>
                    <w:rPr>
                      <w:rFonts w:eastAsia="Yu Mincho"/>
                      <w:sz w:val="20"/>
                      <w:szCs w:val="20"/>
                    </w:rPr>
                  </w:pPr>
                </w:p>
              </w:tc>
              <w:tc>
                <w:tcPr>
                  <w:tcW w:w="4236" w:type="dxa"/>
                  <w:vAlign w:val="center"/>
                </w:tcPr>
                <w:p>
                  <w:pPr>
                    <w:overflowPunct w:val="0"/>
                    <w:autoSpaceDE w:val="0"/>
                    <w:autoSpaceDN w:val="0"/>
                    <w:adjustRightInd w:val="0"/>
                    <w:spacing w:after="180"/>
                    <w:textAlignment w:val="baseline"/>
                    <w:rPr>
                      <w:rFonts w:eastAsia="Yu Mincho"/>
                      <w:sz w:val="20"/>
                      <w:szCs w:val="20"/>
                    </w:rPr>
                  </w:pPr>
                  <w:r>
                    <w:rPr>
                      <w:rFonts w:eastAsia="Yu Mincho"/>
                      <w:sz w:val="20"/>
                      <w:szCs w:val="20"/>
                      <w:lang w:val="en-US" w:eastAsia="zh-CN"/>
                    </w:rPr>
                    <w:t>Reference measurement channels for TDD should be introduced.</w:t>
                  </w:r>
                </w:p>
              </w:tc>
            </w:tr>
          </w:tbl>
          <w:p>
            <w:pPr>
              <w:overflowPunct w:val="0"/>
              <w:autoSpaceDE w:val="0"/>
              <w:autoSpaceDN w:val="0"/>
              <w:adjustRightInd w:val="0"/>
              <w:spacing w:after="180"/>
              <w:textAlignment w:val="baseline"/>
              <w:rPr>
                <w:rFonts w:hint="default"/>
                <w:sz w:val="20"/>
                <w:szCs w:val="20"/>
                <w:vertAlign w:val="baseline"/>
                <w:lang w:val="en-US" w:eastAsia="zh-CN"/>
              </w:rPr>
            </w:pPr>
          </w:p>
        </w:tc>
      </w:tr>
    </w:tbl>
    <w:p>
      <w:pPr>
        <w:bidi w:val="0"/>
        <w:rPr>
          <w:rFonts w:hint="eastAsia"/>
          <w:sz w:val="20"/>
          <w:szCs w:val="18"/>
          <w:lang w:val="en-US" w:eastAsia="zh-CN"/>
        </w:rPr>
      </w:pPr>
    </w:p>
    <w:p>
      <w:pPr>
        <w:bidi w:val="0"/>
        <w:rPr>
          <w:rFonts w:hint="eastAsia"/>
          <w:sz w:val="20"/>
          <w:szCs w:val="18"/>
          <w:lang w:val="en-US" w:eastAsia="zh-CN"/>
        </w:rPr>
      </w:pPr>
      <w:r>
        <w:rPr>
          <w:rFonts w:hint="eastAsia"/>
          <w:sz w:val="20"/>
          <w:szCs w:val="18"/>
          <w:lang w:val="en-US" w:eastAsia="zh-CN"/>
        </w:rPr>
        <w:t>The above is the agreement reached in last meeting, there are some remaining requirements need to be studied. One</w:t>
      </w:r>
      <w:bookmarkStart w:id="8" w:name="_GoBack"/>
      <w:bookmarkEnd w:id="8"/>
      <w:r>
        <w:rPr>
          <w:rFonts w:hint="eastAsia"/>
          <w:sz w:val="20"/>
          <w:szCs w:val="18"/>
          <w:lang w:val="en-US" w:eastAsia="zh-CN"/>
        </w:rPr>
        <w:t xml:space="preserve"> is reference sensitivity power level. For TN NB-IoT, it uses the following equation to define REFSENS and defines the same reference sensitivity for UE category NB1 and NB2 for all FDD and TDD bands. </w:t>
      </w:r>
    </w:p>
    <w:p>
      <w:pPr>
        <w:spacing w:line="300" w:lineRule="auto"/>
        <w:jc w:val="center"/>
      </w:pPr>
      <w:r>
        <w:t>P</w:t>
      </w:r>
      <w:r>
        <w:rPr>
          <w:sz w:val="13"/>
          <w:szCs w:val="13"/>
        </w:rPr>
        <w:t>REFSENS</w:t>
      </w:r>
      <w:r>
        <w:t xml:space="preserve"> = -174+10*log</w:t>
      </w:r>
      <w:r>
        <w:rPr>
          <w:vertAlign w:val="subscript"/>
        </w:rPr>
        <w:t>10</w:t>
      </w:r>
      <w:r>
        <w:t xml:space="preserve">(BW) + NF + IM + </w:t>
      </w:r>
      <w:r>
        <w:rPr>
          <w:rFonts w:hint="eastAsia"/>
        </w:rPr>
        <w:t>1/f Noise +</w:t>
      </w:r>
      <w:r>
        <w:t>SNR</w:t>
      </w:r>
    </w:p>
    <w:p>
      <w:pPr>
        <w:bidi w:val="0"/>
        <w:rPr>
          <w:rFonts w:hint="default"/>
          <w:sz w:val="20"/>
          <w:szCs w:val="18"/>
          <w:lang w:val="en-US" w:eastAsia="zh-CN"/>
        </w:rPr>
      </w:pPr>
      <w:r>
        <w:rPr>
          <w:rFonts w:hint="eastAsia"/>
          <w:sz w:val="20"/>
          <w:szCs w:val="18"/>
          <w:lang w:val="en-US" w:eastAsia="zh-CN"/>
        </w:rPr>
        <w:t>Based on the above equation, we can observe that IoT-NTN TDD mode has no impact on REFSENS requirement. Thus, the existing REFSENS -108.2dBm can be reused for the new TDD NTN NB-IoT operating band.</w:t>
      </w:r>
    </w:p>
    <w:p>
      <w:pPr>
        <w:bidi w:val="0"/>
        <w:rPr>
          <w:rFonts w:hint="default"/>
          <w:sz w:val="20"/>
          <w:szCs w:val="18"/>
          <w:lang w:val="en-US" w:eastAsia="zh-CN"/>
        </w:rPr>
      </w:pPr>
      <w:r>
        <w:rPr>
          <w:rFonts w:hint="eastAsia"/>
          <w:b/>
          <w:bCs/>
          <w:sz w:val="20"/>
          <w:szCs w:val="18"/>
          <w:lang w:val="en-US" w:eastAsia="zh-CN"/>
        </w:rPr>
        <w:t>Proposal 2: It is proposed to reuse REFSENS -108.2dBm for the new TDD NTN NB-IoT operating band.</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the impact on RF due to the periodic pattern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observations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jc w:val="both"/>
        <w:rPr>
          <w:rFonts w:hint="eastAsia"/>
          <w:b/>
          <w:bCs/>
          <w:sz w:val="20"/>
          <w:szCs w:val="18"/>
          <w:lang w:val="en-US" w:eastAsia="zh-CN"/>
        </w:rPr>
      </w:pPr>
      <w:r>
        <w:rPr>
          <w:rFonts w:hint="eastAsia"/>
          <w:b/>
          <w:bCs/>
          <w:sz w:val="20"/>
          <w:szCs w:val="18"/>
          <w:lang w:val="en-US" w:eastAsia="zh-CN"/>
        </w:rPr>
        <w:t xml:space="preserve">Proposal 1: It is proposed to start from 2^18-2^16-1=196607 (below FDD NTN NOffs-DL) for the range of both NDL and NUL and channel numbers for the new TDD NTN NB-IoT operating band can be defined as Table 2.1-1. </w:t>
      </w:r>
    </w:p>
    <w:p>
      <w:pPr>
        <w:pStyle w:val="56"/>
        <w:rPr>
          <w:rFonts w:hint="default" w:eastAsia="宋体"/>
          <w:lang w:val="en-US" w:eastAsia="zh-CN"/>
        </w:rPr>
      </w:pPr>
      <w:r>
        <w:t xml:space="preserve">Table </w:t>
      </w:r>
      <w:r>
        <w:rPr>
          <w:rFonts w:hint="eastAsia"/>
          <w:lang w:val="en-US" w:eastAsia="zh-CN"/>
        </w:rPr>
        <w:t>2.1</w:t>
      </w:r>
      <w:r>
        <w:t xml:space="preserve">-1: E-UTRA channel </w:t>
      </w:r>
      <w:r>
        <w:rPr>
          <w:rFonts w:hint="eastAsia"/>
          <w:lang w:val="en-US" w:eastAsia="zh-CN"/>
        </w:rPr>
        <w:t>numbers</w:t>
      </w:r>
    </w:p>
    <w:tbl>
      <w:tblPr>
        <w:tblStyle w:val="23"/>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19"/>
        <w:gridCol w:w="924"/>
        <w:gridCol w:w="1010"/>
        <w:gridCol w:w="1935"/>
        <w:gridCol w:w="924"/>
        <w:gridCol w:w="917"/>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E-UTRA Operating</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Band</w:t>
            </w:r>
          </w:p>
        </w:tc>
        <w:tc>
          <w:tcPr>
            <w:tcW w:w="919" w:type="dxa"/>
            <w:vMerge w:val="restart"/>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t>ΔF</w:t>
            </w:r>
            <w:r>
              <w:rPr>
                <w:vertAlign w:val="subscript"/>
              </w:rPr>
              <w:t>Raster</w:t>
            </w:r>
            <w:r>
              <w:t xml:space="preserve"> (kHz)</w:t>
            </w:r>
          </w:p>
        </w:tc>
        <w:tc>
          <w:tcPr>
            <w:tcW w:w="3869" w:type="dxa"/>
            <w:gridSpan w:val="3"/>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Downlink</w:t>
            </w:r>
          </w:p>
        </w:tc>
        <w:tc>
          <w:tcPr>
            <w:tcW w:w="3776" w:type="dxa"/>
            <w:gridSpan w:val="3"/>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p>
        </w:tc>
        <w:tc>
          <w:tcPr>
            <w:tcW w:w="919" w:type="dxa"/>
            <w:vMerge w:val="continue"/>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p>
        </w:tc>
        <w:tc>
          <w:tcPr>
            <w:tcW w:w="924"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F</w:t>
            </w:r>
            <w:r>
              <w:rPr>
                <w:rFonts w:cs="Arial"/>
                <w:vertAlign w:val="subscript"/>
              </w:rPr>
              <w:t xml:space="preserve">DL_low </w:t>
            </w:r>
            <w:r>
              <w:rPr>
                <w:rFonts w:cs="Arial"/>
              </w:rPr>
              <w:t>(MHz)</w:t>
            </w:r>
          </w:p>
        </w:tc>
        <w:tc>
          <w:tcPr>
            <w:tcW w:w="1010"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N</w:t>
            </w:r>
            <w:r>
              <w:rPr>
                <w:rFonts w:cs="Arial"/>
                <w:vertAlign w:val="subscript"/>
              </w:rPr>
              <w:t>Offs-DL</w:t>
            </w:r>
          </w:p>
        </w:tc>
        <w:tc>
          <w:tcPr>
            <w:tcW w:w="1935"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vertAlign w:val="subscript"/>
              </w:rPr>
            </w:pPr>
            <w:r>
              <w:rPr>
                <w:rFonts w:cs="Arial"/>
              </w:rPr>
              <w:t>Range of N</w:t>
            </w:r>
            <w:r>
              <w:rPr>
                <w:rFonts w:cs="Arial"/>
                <w:vertAlign w:val="subscript"/>
              </w:rPr>
              <w:t>DL</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eastAsia="Yu Mincho"/>
              </w:rPr>
              <w:t>(First – &lt;Step size&gt; – Last)</w:t>
            </w:r>
          </w:p>
        </w:tc>
        <w:tc>
          <w:tcPr>
            <w:tcW w:w="924"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F</w:t>
            </w:r>
            <w:r>
              <w:rPr>
                <w:rFonts w:cs="Arial"/>
                <w:vertAlign w:val="subscript"/>
              </w:rPr>
              <w:t xml:space="preserve">UL_low </w:t>
            </w:r>
            <w:r>
              <w:rPr>
                <w:rFonts w:cs="Arial"/>
              </w:rPr>
              <w:t>(MHz)</w:t>
            </w:r>
          </w:p>
        </w:tc>
        <w:tc>
          <w:tcPr>
            <w:tcW w:w="917"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N</w:t>
            </w:r>
            <w:r>
              <w:rPr>
                <w:rFonts w:cs="Arial"/>
                <w:vertAlign w:val="subscript"/>
              </w:rPr>
              <w:t>Offs-UL</w:t>
            </w:r>
          </w:p>
        </w:tc>
        <w:tc>
          <w:tcPr>
            <w:tcW w:w="1935" w:type="dxa"/>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vertAlign w:val="subscript"/>
              </w:rPr>
            </w:pPr>
            <w:r>
              <w:rPr>
                <w:rFonts w:cs="Arial"/>
              </w:rPr>
              <w:t>Range of N</w:t>
            </w:r>
            <w:r>
              <w:rPr>
                <w:rFonts w:cs="Arial"/>
                <w:vertAlign w:val="subscript"/>
              </w:rPr>
              <w:t>UL</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hint="eastAsia" w:cs="Arial"/>
                <w:szCs w:val="18"/>
                <w:lang w:val="en-US" w:eastAsia="zh-CN"/>
              </w:rPr>
              <w:t>[</w:t>
            </w:r>
            <w:r>
              <w:rPr>
                <w:rFonts w:hint="eastAsia" w:cs="Arial"/>
                <w:lang w:val="en-US" w:eastAsia="zh-CN"/>
              </w:rPr>
              <w:t>249</w:t>
            </w:r>
            <w:r>
              <w:rPr>
                <w:rFonts w:hint="eastAsia" w:cs="Arial"/>
                <w:szCs w:val="18"/>
                <w:lang w:val="en-US" w:eastAsia="zh-CN"/>
              </w:rPr>
              <w:t>]</w:t>
            </w:r>
          </w:p>
        </w:tc>
        <w:tc>
          <w:tcPr>
            <w:tcW w:w="919"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hint="eastAsia" w:cs="Arial"/>
                <w:szCs w:val="18"/>
                <w:lang w:val="en-US" w:eastAsia="zh-CN"/>
              </w:rPr>
              <w:t>100</w:t>
            </w:r>
          </w:p>
        </w:tc>
        <w:tc>
          <w:tcPr>
            <w:tcW w:w="924"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hint="eastAsia" w:cs="Arial"/>
                <w:szCs w:val="18"/>
                <w:lang w:val="en-US" w:eastAsia="zh-CN"/>
              </w:rPr>
              <w:t>1616</w:t>
            </w:r>
          </w:p>
        </w:tc>
        <w:tc>
          <w:tcPr>
            <w:tcW w:w="1010"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lang w:val="en-US" w:eastAsia="zh-CN"/>
              </w:rPr>
            </w:pPr>
            <w:r>
              <w:rPr>
                <w:rFonts w:hint="eastAsia" w:cs="Arial"/>
                <w:lang w:val="en-US" w:eastAsia="zh-CN"/>
              </w:rPr>
              <w:t>[196607]</w:t>
            </w:r>
          </w:p>
        </w:tc>
        <w:tc>
          <w:tcPr>
            <w:tcW w:w="1935"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lang w:val="en-US" w:eastAsia="zh-CN"/>
              </w:rPr>
            </w:pPr>
            <w:r>
              <w:rPr>
                <w:rFonts w:hint="eastAsia" w:cs="Arial"/>
                <w:lang w:val="en-US" w:eastAsia="zh-CN"/>
              </w:rPr>
              <w:t>[196607</w:t>
            </w:r>
            <w:r>
              <w:rPr>
                <w:rFonts w:hint="eastAsia" w:cs="Arial"/>
              </w:rPr>
              <w:t>-&lt;1&gt;-</w:t>
            </w:r>
            <w:r>
              <w:rPr>
                <w:rFonts w:hint="eastAsia" w:cs="Arial"/>
                <w:lang w:val="en-US" w:eastAsia="zh-CN"/>
              </w:rPr>
              <w:t>196711]</w:t>
            </w:r>
          </w:p>
        </w:tc>
        <w:tc>
          <w:tcPr>
            <w:tcW w:w="924"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18"/>
                <w:lang w:val="en-US" w:eastAsia="zh-CN"/>
              </w:rPr>
            </w:pPr>
            <w:r>
              <w:rPr>
                <w:rFonts w:hint="eastAsia" w:cs="Arial"/>
                <w:szCs w:val="18"/>
                <w:lang w:val="en-US" w:eastAsia="zh-CN"/>
              </w:rPr>
              <w:t>1616</w:t>
            </w:r>
          </w:p>
        </w:tc>
        <w:tc>
          <w:tcPr>
            <w:tcW w:w="917"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val="en-US" w:eastAsia="zh-CN"/>
              </w:rPr>
            </w:pPr>
            <w:r>
              <w:rPr>
                <w:rFonts w:hint="eastAsia" w:cs="Arial"/>
                <w:lang w:val="en-US" w:eastAsia="zh-CN"/>
              </w:rPr>
              <w:t>[196607]</w:t>
            </w:r>
          </w:p>
        </w:tc>
        <w:tc>
          <w:tcPr>
            <w:tcW w:w="1935" w:type="dxa"/>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val="en-US" w:eastAsia="zh-CN"/>
              </w:rPr>
            </w:pPr>
            <w:r>
              <w:rPr>
                <w:rFonts w:hint="eastAsia" w:cs="Arial"/>
                <w:lang w:val="en-US" w:eastAsia="zh-CN"/>
              </w:rPr>
              <w:t>[196607</w:t>
            </w:r>
            <w:r>
              <w:rPr>
                <w:rFonts w:hint="eastAsia" w:cs="Arial"/>
              </w:rPr>
              <w:t>-&lt;1&gt;-</w:t>
            </w:r>
            <w:r>
              <w:rPr>
                <w:rFonts w:hint="eastAsia" w:cs="Arial"/>
                <w:lang w:val="en-US" w:eastAsia="zh-CN"/>
              </w:rPr>
              <w:t>196711]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bidi w:val="0"/>
        <w:rPr>
          <w:rFonts w:hint="default"/>
          <w:sz w:val="20"/>
          <w:szCs w:val="18"/>
          <w:lang w:val="en-US" w:eastAsia="zh-CN"/>
        </w:rPr>
      </w:pPr>
      <w:r>
        <w:rPr>
          <w:rFonts w:hint="eastAsia"/>
          <w:b/>
          <w:bCs/>
          <w:sz w:val="20"/>
          <w:szCs w:val="18"/>
          <w:lang w:val="en-US" w:eastAsia="zh-CN"/>
        </w:rPr>
        <w:t>Proposal 2: It is proposed to reuse REFSENS -108.2dBm for the new TDD NTN NB-IoT operating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RP-243293, Revised WID on introduction of IoT-NTN TDD mode, Iridium Satellite LLC</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R4-2419795</w:t>
      </w:r>
      <w:r>
        <w:rPr>
          <w:rFonts w:hint="eastAsia"/>
          <w:color w:val="auto"/>
          <w:lang w:val="en-US" w:eastAsia="zh-CN"/>
        </w:rPr>
        <w:t>, Way Forward for [113][317] IoT_NTN_TDD, Moderator (Qualcomm Incorporated)</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R4-2419720</w:t>
      </w:r>
      <w:r>
        <w:rPr>
          <w:rFonts w:hint="eastAsia"/>
          <w:color w:val="auto"/>
          <w:lang w:val="en-US" w:eastAsia="zh-CN"/>
        </w:rPr>
        <w:t>, Discussion on the First Introduction of an NTN NB-IoT TDD Frequency Band, THALES</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4956824"/>
    <w:multiLevelType w:val="multilevel"/>
    <w:tmpl w:val="64956824"/>
    <w:lvl w:ilvl="0" w:tentative="0">
      <w:start w:val="1"/>
      <w:numFmt w:val="bullet"/>
      <w:lvlText w:val=""/>
      <w:lvlJc w:val="left"/>
      <w:pPr>
        <w:ind w:left="284" w:hanging="360"/>
      </w:pPr>
      <w:rPr>
        <w:rFonts w:hint="default" w:ascii="Symbol" w:hAnsi="Symbol"/>
      </w:rPr>
    </w:lvl>
    <w:lvl w:ilvl="1" w:tentative="0">
      <w:start w:val="0"/>
      <w:numFmt w:val="bullet"/>
      <w:lvlText w:val="•"/>
      <w:lvlJc w:val="left"/>
      <w:pPr>
        <w:ind w:left="1004" w:hanging="360"/>
      </w:pPr>
      <w:rPr>
        <w:rFonts w:hint="default" w:ascii="Times New Roman" w:hAnsi="Times New Roman" w:eastAsia="宋体" w:cs="Times New Roman"/>
      </w:rPr>
    </w:lvl>
    <w:lvl w:ilvl="2" w:tentative="0">
      <w:start w:val="1"/>
      <w:numFmt w:val="bullet"/>
      <w:lvlText w:val=""/>
      <w:lvlJc w:val="left"/>
      <w:pPr>
        <w:ind w:left="1724" w:hanging="360"/>
      </w:pPr>
      <w:rPr>
        <w:rFonts w:hint="default" w:ascii="Wingdings" w:hAnsi="Wingdings"/>
      </w:rPr>
    </w:lvl>
    <w:lvl w:ilvl="3" w:tentative="0">
      <w:start w:val="1"/>
      <w:numFmt w:val="bullet"/>
      <w:lvlText w:val=""/>
      <w:lvlJc w:val="left"/>
      <w:pPr>
        <w:ind w:left="2444" w:hanging="360"/>
      </w:pPr>
      <w:rPr>
        <w:rFonts w:hint="default" w:ascii="Symbol" w:hAnsi="Symbol"/>
      </w:rPr>
    </w:lvl>
    <w:lvl w:ilvl="4" w:tentative="0">
      <w:start w:val="1"/>
      <w:numFmt w:val="bullet"/>
      <w:lvlText w:val="o"/>
      <w:lvlJc w:val="left"/>
      <w:pPr>
        <w:ind w:left="3164" w:hanging="360"/>
      </w:pPr>
      <w:rPr>
        <w:rFonts w:hint="default" w:ascii="Courier New" w:hAnsi="Courier New" w:cs="Courier New"/>
      </w:rPr>
    </w:lvl>
    <w:lvl w:ilvl="5" w:tentative="0">
      <w:start w:val="1"/>
      <w:numFmt w:val="bullet"/>
      <w:lvlText w:val=""/>
      <w:lvlJc w:val="left"/>
      <w:pPr>
        <w:ind w:left="3884" w:hanging="360"/>
      </w:pPr>
      <w:rPr>
        <w:rFonts w:hint="default" w:ascii="Wingdings" w:hAnsi="Wingdings"/>
      </w:rPr>
    </w:lvl>
    <w:lvl w:ilvl="6" w:tentative="0">
      <w:start w:val="1"/>
      <w:numFmt w:val="bullet"/>
      <w:lvlText w:val=""/>
      <w:lvlJc w:val="left"/>
      <w:pPr>
        <w:ind w:left="4604" w:hanging="360"/>
      </w:pPr>
      <w:rPr>
        <w:rFonts w:hint="default" w:ascii="Symbol" w:hAnsi="Symbol"/>
      </w:rPr>
    </w:lvl>
    <w:lvl w:ilvl="7" w:tentative="0">
      <w:start w:val="1"/>
      <w:numFmt w:val="bullet"/>
      <w:lvlText w:val="o"/>
      <w:lvlJc w:val="left"/>
      <w:pPr>
        <w:ind w:left="5324" w:hanging="360"/>
      </w:pPr>
      <w:rPr>
        <w:rFonts w:hint="default" w:ascii="Courier New" w:hAnsi="Courier New" w:cs="Courier New"/>
      </w:rPr>
    </w:lvl>
    <w:lvl w:ilvl="8" w:tentative="0">
      <w:start w:val="1"/>
      <w:numFmt w:val="bullet"/>
      <w:lvlText w:val=""/>
      <w:lvlJc w:val="left"/>
      <w:pPr>
        <w:ind w:left="6044" w:hanging="360"/>
      </w:pPr>
      <w:rPr>
        <w:rFonts w:hint="default" w:ascii="Wingdings" w:hAnsi="Wingdings"/>
      </w:rPr>
    </w:lvl>
  </w:abstractNum>
  <w:abstractNum w:abstractNumId="9">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11">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1"/>
  </w:num>
  <w:num w:numId="3">
    <w:abstractNumId w:val="6"/>
  </w:num>
  <w:num w:numId="4">
    <w:abstractNumId w:val="4"/>
  </w:num>
  <w:num w:numId="5">
    <w:abstractNumId w:val="5"/>
  </w:num>
  <w:num w:numId="6">
    <w:abstractNumId w:val="1"/>
  </w:num>
  <w:num w:numId="7">
    <w:abstractNumId w:val="0"/>
  </w:num>
  <w:num w:numId="8">
    <w:abstractNumId w:val="2"/>
  </w:num>
  <w:num w:numId="9">
    <w:abstractNumId w:val="9"/>
  </w:num>
  <w:num w:numId="10">
    <w:abstractNumId w:val="8"/>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7B05A3"/>
    <w:rsid w:val="04894975"/>
    <w:rsid w:val="04922411"/>
    <w:rsid w:val="0492397B"/>
    <w:rsid w:val="04A65723"/>
    <w:rsid w:val="04B14B03"/>
    <w:rsid w:val="04BC365E"/>
    <w:rsid w:val="04CF6607"/>
    <w:rsid w:val="04D46535"/>
    <w:rsid w:val="04DA1A87"/>
    <w:rsid w:val="04DC0F32"/>
    <w:rsid w:val="04DC52CD"/>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6D5BF6"/>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C13A8"/>
    <w:rsid w:val="073D143C"/>
    <w:rsid w:val="074454BD"/>
    <w:rsid w:val="074855FD"/>
    <w:rsid w:val="07601DB8"/>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9114B"/>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64F51"/>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E30DF"/>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E50F55"/>
    <w:rsid w:val="18F74015"/>
    <w:rsid w:val="19001FFC"/>
    <w:rsid w:val="19083894"/>
    <w:rsid w:val="190E2B4A"/>
    <w:rsid w:val="191D2068"/>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614BDA"/>
    <w:rsid w:val="1D70348C"/>
    <w:rsid w:val="1D7072CE"/>
    <w:rsid w:val="1D794A16"/>
    <w:rsid w:val="1D80759A"/>
    <w:rsid w:val="1D8A021B"/>
    <w:rsid w:val="1D9E30A9"/>
    <w:rsid w:val="1DA778AD"/>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84238"/>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05A44"/>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2897"/>
    <w:rsid w:val="2D2279B8"/>
    <w:rsid w:val="2D260795"/>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41E5D"/>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5B737E"/>
    <w:rsid w:val="2F664E2B"/>
    <w:rsid w:val="2F6C7BE3"/>
    <w:rsid w:val="2F6E35CB"/>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0E6A63"/>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A53B76"/>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73B77"/>
    <w:rsid w:val="33AD5111"/>
    <w:rsid w:val="33BF4199"/>
    <w:rsid w:val="33CD23A8"/>
    <w:rsid w:val="33CD6498"/>
    <w:rsid w:val="33D7554F"/>
    <w:rsid w:val="33D825FA"/>
    <w:rsid w:val="33DB2AB1"/>
    <w:rsid w:val="33FE62E7"/>
    <w:rsid w:val="33FF7B8B"/>
    <w:rsid w:val="34080399"/>
    <w:rsid w:val="340D25F6"/>
    <w:rsid w:val="34161D6C"/>
    <w:rsid w:val="341E19AD"/>
    <w:rsid w:val="3423329A"/>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B3DA5"/>
    <w:rsid w:val="34EE6187"/>
    <w:rsid w:val="350A65C4"/>
    <w:rsid w:val="350B42D5"/>
    <w:rsid w:val="350F6258"/>
    <w:rsid w:val="351A603C"/>
    <w:rsid w:val="35257EF7"/>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25B4"/>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525116"/>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57B13"/>
    <w:rsid w:val="394B6470"/>
    <w:rsid w:val="395C6EA8"/>
    <w:rsid w:val="39841325"/>
    <w:rsid w:val="39872512"/>
    <w:rsid w:val="39A602F9"/>
    <w:rsid w:val="39BD45C8"/>
    <w:rsid w:val="39C2316A"/>
    <w:rsid w:val="39D17C2D"/>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60108"/>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EE2AEC"/>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D877F9"/>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2A45BB"/>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5042FB1"/>
    <w:rsid w:val="45162B93"/>
    <w:rsid w:val="45234E43"/>
    <w:rsid w:val="45275172"/>
    <w:rsid w:val="452F1464"/>
    <w:rsid w:val="452F5B3A"/>
    <w:rsid w:val="45332511"/>
    <w:rsid w:val="45370B65"/>
    <w:rsid w:val="453F44DA"/>
    <w:rsid w:val="45412C46"/>
    <w:rsid w:val="4548028E"/>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15F44"/>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D429DD"/>
    <w:rsid w:val="48E01C77"/>
    <w:rsid w:val="48E22285"/>
    <w:rsid w:val="48E50D90"/>
    <w:rsid w:val="48EB0B49"/>
    <w:rsid w:val="48EB0D16"/>
    <w:rsid w:val="48FA15CC"/>
    <w:rsid w:val="48FF0DD1"/>
    <w:rsid w:val="49006836"/>
    <w:rsid w:val="490F071A"/>
    <w:rsid w:val="491B63DF"/>
    <w:rsid w:val="491D63E9"/>
    <w:rsid w:val="49247EB1"/>
    <w:rsid w:val="49302F0F"/>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DB7063"/>
    <w:rsid w:val="4BDC328B"/>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DF165F"/>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A37B9"/>
    <w:rsid w:val="4DAE4B1E"/>
    <w:rsid w:val="4DAF14C5"/>
    <w:rsid w:val="4DB9067A"/>
    <w:rsid w:val="4DC605B6"/>
    <w:rsid w:val="4DD732D2"/>
    <w:rsid w:val="4DEC0985"/>
    <w:rsid w:val="4E000105"/>
    <w:rsid w:val="4E0538A3"/>
    <w:rsid w:val="4E0E6818"/>
    <w:rsid w:val="4E27683A"/>
    <w:rsid w:val="4E2D177F"/>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B47CBB"/>
    <w:rsid w:val="4FC55F2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C622D"/>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524B9"/>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095F43"/>
    <w:rsid w:val="572657E3"/>
    <w:rsid w:val="5732705F"/>
    <w:rsid w:val="57351D6F"/>
    <w:rsid w:val="573B7F99"/>
    <w:rsid w:val="57400732"/>
    <w:rsid w:val="576476C1"/>
    <w:rsid w:val="576E1940"/>
    <w:rsid w:val="57756BF9"/>
    <w:rsid w:val="57770501"/>
    <w:rsid w:val="577B3337"/>
    <w:rsid w:val="577D4F28"/>
    <w:rsid w:val="578B1816"/>
    <w:rsid w:val="5792174B"/>
    <w:rsid w:val="57A33734"/>
    <w:rsid w:val="57AB6ADD"/>
    <w:rsid w:val="57B7178E"/>
    <w:rsid w:val="57B76EED"/>
    <w:rsid w:val="57BD72A7"/>
    <w:rsid w:val="57BE5838"/>
    <w:rsid w:val="57BF764E"/>
    <w:rsid w:val="57CB35DF"/>
    <w:rsid w:val="57D82354"/>
    <w:rsid w:val="57F05993"/>
    <w:rsid w:val="57FC0156"/>
    <w:rsid w:val="57FC07D9"/>
    <w:rsid w:val="57FF6992"/>
    <w:rsid w:val="58036FF1"/>
    <w:rsid w:val="580F1B21"/>
    <w:rsid w:val="581B7E79"/>
    <w:rsid w:val="5837438C"/>
    <w:rsid w:val="58420FA1"/>
    <w:rsid w:val="58500F22"/>
    <w:rsid w:val="58587379"/>
    <w:rsid w:val="585D72B5"/>
    <w:rsid w:val="586D57A3"/>
    <w:rsid w:val="587917A0"/>
    <w:rsid w:val="587A4288"/>
    <w:rsid w:val="587B39E5"/>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1655E"/>
    <w:rsid w:val="5F941274"/>
    <w:rsid w:val="5F99518A"/>
    <w:rsid w:val="5F9A540B"/>
    <w:rsid w:val="5FAB7F08"/>
    <w:rsid w:val="5FB7185B"/>
    <w:rsid w:val="5FB94C48"/>
    <w:rsid w:val="5FBE576C"/>
    <w:rsid w:val="5FDE327E"/>
    <w:rsid w:val="5FE11DB4"/>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775D7"/>
    <w:rsid w:val="60485D19"/>
    <w:rsid w:val="604D29BA"/>
    <w:rsid w:val="6059615F"/>
    <w:rsid w:val="606711B4"/>
    <w:rsid w:val="60673C40"/>
    <w:rsid w:val="606A52D4"/>
    <w:rsid w:val="606C5678"/>
    <w:rsid w:val="60786184"/>
    <w:rsid w:val="607A0897"/>
    <w:rsid w:val="607C3753"/>
    <w:rsid w:val="607F6EAB"/>
    <w:rsid w:val="60824F37"/>
    <w:rsid w:val="608D1D4E"/>
    <w:rsid w:val="608D5C53"/>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344A89"/>
    <w:rsid w:val="624263A2"/>
    <w:rsid w:val="625272C3"/>
    <w:rsid w:val="626A1B4F"/>
    <w:rsid w:val="62715337"/>
    <w:rsid w:val="6280204D"/>
    <w:rsid w:val="62875636"/>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231AB"/>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357C1"/>
    <w:rsid w:val="65460728"/>
    <w:rsid w:val="654835A8"/>
    <w:rsid w:val="654861C0"/>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00F11"/>
    <w:rsid w:val="66641D58"/>
    <w:rsid w:val="66655F85"/>
    <w:rsid w:val="667C7AEC"/>
    <w:rsid w:val="667F71BA"/>
    <w:rsid w:val="66863A0F"/>
    <w:rsid w:val="66984358"/>
    <w:rsid w:val="669B7C76"/>
    <w:rsid w:val="66A200F8"/>
    <w:rsid w:val="66A205F5"/>
    <w:rsid w:val="66A30EC2"/>
    <w:rsid w:val="66AA4BA8"/>
    <w:rsid w:val="66B51E22"/>
    <w:rsid w:val="66C56058"/>
    <w:rsid w:val="66C955BD"/>
    <w:rsid w:val="66CF3182"/>
    <w:rsid w:val="66D97420"/>
    <w:rsid w:val="66DC317D"/>
    <w:rsid w:val="66DD5461"/>
    <w:rsid w:val="66E10E78"/>
    <w:rsid w:val="66E617C5"/>
    <w:rsid w:val="66E910C9"/>
    <w:rsid w:val="670C6D27"/>
    <w:rsid w:val="670D67CE"/>
    <w:rsid w:val="67105BAB"/>
    <w:rsid w:val="67150D42"/>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8F00C59"/>
    <w:rsid w:val="69123F86"/>
    <w:rsid w:val="691C1D81"/>
    <w:rsid w:val="691C3525"/>
    <w:rsid w:val="691C4B46"/>
    <w:rsid w:val="69216128"/>
    <w:rsid w:val="69250799"/>
    <w:rsid w:val="69280874"/>
    <w:rsid w:val="692E74C3"/>
    <w:rsid w:val="69307671"/>
    <w:rsid w:val="695D6B21"/>
    <w:rsid w:val="69611EE7"/>
    <w:rsid w:val="69621F5B"/>
    <w:rsid w:val="696C708E"/>
    <w:rsid w:val="696F4D5D"/>
    <w:rsid w:val="69796AD5"/>
    <w:rsid w:val="69850877"/>
    <w:rsid w:val="698C13C5"/>
    <w:rsid w:val="69C12919"/>
    <w:rsid w:val="69EB1E1E"/>
    <w:rsid w:val="69F0745A"/>
    <w:rsid w:val="69F2722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86403E"/>
    <w:rsid w:val="6AAE7116"/>
    <w:rsid w:val="6AAF014C"/>
    <w:rsid w:val="6ABD60AB"/>
    <w:rsid w:val="6AC07690"/>
    <w:rsid w:val="6ACB082B"/>
    <w:rsid w:val="6AD3247E"/>
    <w:rsid w:val="6AE4699C"/>
    <w:rsid w:val="6AED1BE8"/>
    <w:rsid w:val="6AF00853"/>
    <w:rsid w:val="6AF317C6"/>
    <w:rsid w:val="6B004C6B"/>
    <w:rsid w:val="6B014632"/>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27EC3"/>
    <w:rsid w:val="6DF43BD4"/>
    <w:rsid w:val="6E0E1FAB"/>
    <w:rsid w:val="6E2143FB"/>
    <w:rsid w:val="6E295363"/>
    <w:rsid w:val="6E317378"/>
    <w:rsid w:val="6E3A4724"/>
    <w:rsid w:val="6E3E5591"/>
    <w:rsid w:val="6E407C99"/>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A50D5"/>
    <w:rsid w:val="6F7C40AC"/>
    <w:rsid w:val="6F8040F4"/>
    <w:rsid w:val="6F877B03"/>
    <w:rsid w:val="6F905BB3"/>
    <w:rsid w:val="6F9A3007"/>
    <w:rsid w:val="6FA629D4"/>
    <w:rsid w:val="6FA75ADB"/>
    <w:rsid w:val="6FB77ED4"/>
    <w:rsid w:val="6FBD3BBF"/>
    <w:rsid w:val="6FBD4D2F"/>
    <w:rsid w:val="6FBF4710"/>
    <w:rsid w:val="6FC14108"/>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DE33C3"/>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7920C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10121"/>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1B2852"/>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36716"/>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F0726"/>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C07B43"/>
    <w:rsid w:val="79C832AC"/>
    <w:rsid w:val="79D33056"/>
    <w:rsid w:val="79D715DF"/>
    <w:rsid w:val="79D85AB0"/>
    <w:rsid w:val="79DE3595"/>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443E0"/>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B14E6"/>
    <w:rsid w:val="7D9D0A97"/>
    <w:rsid w:val="7D9D438F"/>
    <w:rsid w:val="7DA514D2"/>
    <w:rsid w:val="7DAE6BE3"/>
    <w:rsid w:val="7DCD1A27"/>
    <w:rsid w:val="7DCD4EB5"/>
    <w:rsid w:val="7DDF20BC"/>
    <w:rsid w:val="7DE07962"/>
    <w:rsid w:val="7DE34955"/>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23C17"/>
    <w:rsid w:val="7F033852"/>
    <w:rsid w:val="7F0B5962"/>
    <w:rsid w:val="7F0C2035"/>
    <w:rsid w:val="7F0F0FAF"/>
    <w:rsid w:val="7F0F7992"/>
    <w:rsid w:val="7F1B0865"/>
    <w:rsid w:val="7F271AA3"/>
    <w:rsid w:val="7F354370"/>
    <w:rsid w:val="7F397345"/>
    <w:rsid w:val="7F4D1868"/>
    <w:rsid w:val="7F4D3BF2"/>
    <w:rsid w:val="7F542B37"/>
    <w:rsid w:val="7F57085D"/>
    <w:rsid w:val="7F630EB2"/>
    <w:rsid w:val="7F6A77AB"/>
    <w:rsid w:val="7F6B2248"/>
    <w:rsid w:val="7F725E7C"/>
    <w:rsid w:val="7F761ADC"/>
    <w:rsid w:val="7F7D7A8E"/>
    <w:rsid w:val="7F872588"/>
    <w:rsid w:val="7F8725BA"/>
    <w:rsid w:val="7F8C6A8F"/>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3"/>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TableGrid4"/>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1">
    <w:name w:val="WW8Num1z0"/>
    <w:qFormat/>
    <w:uiPriority w:val="0"/>
  </w:style>
  <w:style w:type="character" w:customStyle="1" w:styleId="82">
    <w:name w:val="ui-provider"/>
    <w:qFormat/>
    <w:uiPriority w:val="0"/>
  </w:style>
  <w:style w:type="paragraph" w:customStyle="1" w:styleId="83">
    <w:name w:val="TAR"/>
    <w:basedOn w:val="58"/>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2025-02-07T06:07:44Z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78896399C4B640358C07653FA93B3653</vt:lpwstr>
  </property>
</Properties>
</file>